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57D4A8F5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bookmarkStart w:id="0" w:name="_GoBack"/>
      <w:bookmarkEnd w:id="0"/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A0648A" w:rsidRPr="00292FAC">
        <w:rPr>
          <w:rFonts w:eastAsia="Calibri"/>
          <w:sz w:val="20"/>
          <w:szCs w:val="20"/>
        </w:rPr>
        <w:t>members</w:t>
      </w:r>
    </w:p>
    <w:p w14:paraId="62473DC3" w14:textId="0B2DBF55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A36322" w:rsidRPr="00292FAC">
        <w:rPr>
          <w:rFonts w:eastAsia="Calibri"/>
          <w:sz w:val="20"/>
          <w:szCs w:val="20"/>
        </w:rPr>
        <w:t>Gina Butler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75A0B75B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E7089C">
        <w:rPr>
          <w:rFonts w:eastAsia="Calibri"/>
          <w:sz w:val="20"/>
          <w:szCs w:val="20"/>
        </w:rPr>
        <w:t xml:space="preserve">May </w:t>
      </w:r>
      <w:r w:rsidR="003F7D8A">
        <w:rPr>
          <w:rFonts w:eastAsia="Calibri"/>
          <w:sz w:val="20"/>
          <w:szCs w:val="20"/>
        </w:rPr>
        <w:t>18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4E6388F0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</w:t>
      </w:r>
      <w:r w:rsidR="00E7089C">
        <w:rPr>
          <w:rFonts w:eastAsia="Calibri"/>
          <w:sz w:val="20"/>
          <w:szCs w:val="20"/>
        </w:rPr>
        <w:t>May</w:t>
      </w:r>
      <w:r w:rsidR="00C234E9">
        <w:rPr>
          <w:rFonts w:eastAsia="Calibri"/>
          <w:sz w:val="20"/>
          <w:szCs w:val="20"/>
        </w:rPr>
        <w:t xml:space="preserve"> </w:t>
      </w:r>
      <w:r w:rsidR="00397D4B" w:rsidRPr="00292FAC">
        <w:rPr>
          <w:rFonts w:eastAsia="Calibri"/>
          <w:sz w:val="20"/>
          <w:szCs w:val="20"/>
        </w:rPr>
        <w:t>meeting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5C08AE04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A36322" w:rsidRPr="00292FAC">
        <w:rPr>
          <w:sz w:val="20"/>
          <w:szCs w:val="20"/>
        </w:rPr>
        <w:t xml:space="preserve"> </w:t>
      </w:r>
      <w:r w:rsidR="007A574F" w:rsidRPr="00292FAC">
        <w:rPr>
          <w:sz w:val="20"/>
          <w:szCs w:val="20"/>
        </w:rPr>
        <w:t xml:space="preserve"> </w:t>
      </w:r>
      <w:r w:rsidR="00E7089C">
        <w:rPr>
          <w:sz w:val="20"/>
          <w:szCs w:val="20"/>
        </w:rPr>
        <w:t>Kelly Cook</w:t>
      </w:r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161517">
      <w:pPr>
        <w:pStyle w:val="NoSpacing"/>
        <w:ind w:left="720" w:firstLine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 xml:space="preserve">and the </w:t>
      </w:r>
      <w:proofErr w:type="spellStart"/>
      <w:r w:rsidRPr="00292FAC">
        <w:rPr>
          <w:i/>
          <w:iCs/>
          <w:sz w:val="20"/>
          <w:szCs w:val="20"/>
        </w:rPr>
        <w:t>Susquehannocks</w:t>
      </w:r>
      <w:proofErr w:type="spellEnd"/>
      <w:r w:rsidRPr="00292FAC">
        <w:rPr>
          <w:i/>
          <w:iCs/>
          <w:sz w:val="20"/>
          <w:szCs w:val="20"/>
        </w:rPr>
        <w:t>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77777777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11E33E95" w14:textId="75B4C164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2B096C27" w14:textId="77777777" w:rsidR="00DE1A7C" w:rsidRPr="00292FAC" w:rsidRDefault="00DE1A7C" w:rsidP="00231868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2FB5FE05" w14:textId="575DF8B4" w:rsidR="00231868" w:rsidRPr="00292FAC" w:rsidRDefault="00606853" w:rsidP="00231868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Guest(s) </w:t>
      </w:r>
      <w:r w:rsidR="005333F3" w:rsidRPr="00292FAC">
        <w:rPr>
          <w:rFonts w:eastAsia="Calibri"/>
          <w:sz w:val="20"/>
          <w:szCs w:val="20"/>
        </w:rPr>
        <w:t>–</w:t>
      </w:r>
      <w:r w:rsidR="00016F04" w:rsidRPr="00292FAC">
        <w:rPr>
          <w:rFonts w:eastAsia="Calibri"/>
          <w:sz w:val="20"/>
          <w:szCs w:val="20"/>
        </w:rPr>
        <w:t xml:space="preserve"> </w:t>
      </w:r>
      <w:r w:rsidR="00C234E9">
        <w:rPr>
          <w:rFonts w:eastAsia="Calibri"/>
          <w:sz w:val="20"/>
          <w:szCs w:val="20"/>
        </w:rPr>
        <w:t>n/a</w:t>
      </w:r>
    </w:p>
    <w:p w14:paraId="0A4E9570" w14:textId="77777777" w:rsidR="00DE1A7C" w:rsidRPr="00292FAC" w:rsidRDefault="00DE1A7C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67DF6228" w14:textId="2386ED69" w:rsidR="000A3D67" w:rsidRPr="00292FAC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6CFA00E8" w14:textId="77777777" w:rsidR="00E7089C" w:rsidRDefault="00E7089C" w:rsidP="00F04F1C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5408B44E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254E49AD" w14:textId="047743E7" w:rsidR="00DB4686" w:rsidRDefault="00DB4686" w:rsidP="00DB4686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1" w:name="_Hlk57579485"/>
      <w:r>
        <w:rPr>
          <w:sz w:val="20"/>
          <w:szCs w:val="20"/>
        </w:rPr>
        <w:t>Welcome New Senators in attendance</w:t>
      </w:r>
    </w:p>
    <w:p w14:paraId="19B7CAE1" w14:textId="67887B9D" w:rsidR="00C612D6" w:rsidRDefault="00DB4686" w:rsidP="00DB4686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DB4686">
        <w:rPr>
          <w:sz w:val="20"/>
          <w:szCs w:val="20"/>
        </w:rPr>
        <w:t>UGC (4/21)</w:t>
      </w:r>
      <w:r w:rsidR="00C612D6">
        <w:rPr>
          <w:sz w:val="20"/>
          <w:szCs w:val="20"/>
        </w:rPr>
        <w:t xml:space="preserve"> </w:t>
      </w:r>
    </w:p>
    <w:p w14:paraId="1E68C84D" w14:textId="18916928" w:rsidR="00DB4686" w:rsidRPr="00DB4686" w:rsidRDefault="00C612D6" w:rsidP="00DB4686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Flag policy update</w:t>
      </w:r>
    </w:p>
    <w:p w14:paraId="66A10A7E" w14:textId="436CE5A9" w:rsidR="00292FAC" w:rsidRDefault="00E7089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BOT Meeting </w:t>
      </w:r>
      <w:r w:rsidR="00DB4686">
        <w:rPr>
          <w:sz w:val="20"/>
          <w:szCs w:val="20"/>
        </w:rPr>
        <w:t>(</w:t>
      </w:r>
      <w:r>
        <w:rPr>
          <w:sz w:val="20"/>
          <w:szCs w:val="20"/>
        </w:rPr>
        <w:t>5/5-5/6</w:t>
      </w:r>
      <w:r w:rsidR="00DB4686">
        <w:rPr>
          <w:sz w:val="20"/>
          <w:szCs w:val="20"/>
        </w:rPr>
        <w:t>)</w:t>
      </w:r>
      <w:r w:rsidR="003F7D8A">
        <w:rPr>
          <w:sz w:val="20"/>
          <w:szCs w:val="20"/>
        </w:rPr>
        <w:t>: committee liaison reports</w:t>
      </w:r>
    </w:p>
    <w:p w14:paraId="15F4416B" w14:textId="3107B024" w:rsidR="00DB4686" w:rsidRDefault="00DB4686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UPC (5/12)</w:t>
      </w:r>
    </w:p>
    <w:p w14:paraId="61F21543" w14:textId="1C0383A4" w:rsidR="002072D1" w:rsidRDefault="00E7089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Deans, Interim Provost Announcements</w:t>
      </w:r>
    </w:p>
    <w:p w14:paraId="451812F1" w14:textId="21542236" w:rsidR="00E7089C" w:rsidRDefault="00E7089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Fundraiser: May 9</w:t>
      </w:r>
      <w:r w:rsidRPr="00E708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-20</w:t>
      </w:r>
      <w:r w:rsidRPr="00E708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- </w:t>
      </w:r>
      <w:r w:rsidR="00B736AE">
        <w:rPr>
          <w:sz w:val="20"/>
          <w:szCs w:val="20"/>
        </w:rPr>
        <w:t xml:space="preserve">raffle drawing </w:t>
      </w:r>
      <w:r w:rsidR="002C61CF">
        <w:rPr>
          <w:sz w:val="20"/>
          <w:szCs w:val="20"/>
        </w:rPr>
        <w:t>5/25</w:t>
      </w:r>
    </w:p>
    <w:p w14:paraId="19156B43" w14:textId="0997FC58" w:rsidR="00DB4686" w:rsidRPr="00292FAC" w:rsidRDefault="00DB4686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End of the Year Celebration</w:t>
      </w:r>
    </w:p>
    <w:bookmarkEnd w:id="1"/>
    <w:p w14:paraId="19F39D7D" w14:textId="781C42FC" w:rsidR="00B0514E" w:rsidRPr="00292FAC" w:rsidRDefault="00DF1199" w:rsidP="0085102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DD8F798" w14:textId="2E9ED3B0" w:rsidR="00666578" w:rsidRPr="00292FAC" w:rsidRDefault="002072D1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Election</w:t>
      </w:r>
    </w:p>
    <w:p w14:paraId="230E703B" w14:textId="6534EA46" w:rsidR="00292FAC" w:rsidRDefault="002072D1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Health </w:t>
      </w:r>
      <w:r w:rsidR="00DB4686">
        <w:rPr>
          <w:rFonts w:eastAsia="Calibri"/>
          <w:sz w:val="20"/>
          <w:szCs w:val="20"/>
        </w:rPr>
        <w:t xml:space="preserve">&amp; </w:t>
      </w:r>
      <w:r>
        <w:rPr>
          <w:rFonts w:eastAsia="Calibri"/>
          <w:sz w:val="20"/>
          <w:szCs w:val="20"/>
        </w:rPr>
        <w:t xml:space="preserve">Safety updates </w:t>
      </w:r>
      <w:r w:rsidR="00DB4686">
        <w:rPr>
          <w:rFonts w:eastAsia="Calibri"/>
          <w:sz w:val="20"/>
          <w:szCs w:val="20"/>
        </w:rPr>
        <w:t xml:space="preserve">– summer </w:t>
      </w:r>
    </w:p>
    <w:p w14:paraId="4B72F071" w14:textId="5CD86BEC" w:rsidR="002072D1" w:rsidRDefault="002072D1" w:rsidP="002072D1">
      <w:pPr>
        <w:pStyle w:val="ListParagraph"/>
        <w:numPr>
          <w:ilvl w:val="0"/>
          <w:numId w:val="38"/>
        </w:numPr>
        <w:rPr>
          <w:rFonts w:eastAsia="Calibri"/>
          <w:sz w:val="20"/>
          <w:szCs w:val="20"/>
        </w:rPr>
      </w:pPr>
      <w:r w:rsidRPr="002072D1">
        <w:rPr>
          <w:rFonts w:eastAsia="Calibri"/>
          <w:sz w:val="20"/>
          <w:szCs w:val="20"/>
        </w:rPr>
        <w:t>Spring Communication Symposium</w:t>
      </w:r>
      <w:r w:rsidR="002C61CF">
        <w:rPr>
          <w:rFonts w:eastAsia="Calibri"/>
          <w:sz w:val="20"/>
          <w:szCs w:val="20"/>
        </w:rPr>
        <w:t xml:space="preserve"> update</w:t>
      </w:r>
    </w:p>
    <w:p w14:paraId="58207AF5" w14:textId="3B4FCBF5" w:rsidR="00DB4686" w:rsidRDefault="00DB4686" w:rsidP="00DB4686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Hybrid/Remote Work policy</w:t>
      </w:r>
      <w:r w:rsidR="00734A00">
        <w:rPr>
          <w:sz w:val="20"/>
          <w:szCs w:val="20"/>
        </w:rPr>
        <w:t>: Pilot Programs</w:t>
      </w:r>
    </w:p>
    <w:p w14:paraId="675131BF" w14:textId="26B87D15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2536D6CF" w14:textId="33B12ACA" w:rsidR="00181505" w:rsidRDefault="00DB4686" w:rsidP="00DB4686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Orientation for new Senators</w:t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35CA4E90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851ED8" w:rsidRPr="00292FAC">
        <w:rPr>
          <w:rFonts w:ascii="Calibri" w:eastAsia="Calibri" w:hAnsi="Calibri" w:cs="Calibri"/>
          <w:sz w:val="20"/>
          <w:szCs w:val="20"/>
        </w:rPr>
        <w:t xml:space="preserve">Nick Truncale </w:t>
      </w:r>
      <w:r w:rsidR="00851029" w:rsidRPr="00292FAC">
        <w:rPr>
          <w:rFonts w:ascii="Calibri" w:eastAsia="Calibri" w:hAnsi="Calibri" w:cs="Calibri"/>
          <w:sz w:val="20"/>
          <w:szCs w:val="20"/>
        </w:rPr>
        <w:t>and Denise Kuzma</w:t>
      </w:r>
    </w:p>
    <w:p w14:paraId="313804BE" w14:textId="6456FC63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DB4686">
        <w:rPr>
          <w:rFonts w:ascii="Calibri" w:eastAsia="Calibri" w:hAnsi="Calibri" w:cs="Calibri"/>
          <w:sz w:val="20"/>
          <w:szCs w:val="20"/>
        </w:rPr>
        <w:t xml:space="preserve">Kristi Klien and 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Rose Ann Jubinski</w:t>
      </w:r>
    </w:p>
    <w:p w14:paraId="786FA32E" w14:textId="5B1C6E32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58AD793D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and Ryan Puksta</w:t>
      </w:r>
    </w:p>
    <w:p w14:paraId="3D5D21A0" w14:textId="2901B239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851029" w:rsidRPr="00292FAC">
        <w:rPr>
          <w:rFonts w:ascii="Calibri" w:eastAsia="Calibri" w:hAnsi="Calibri" w:cs="Calibri"/>
          <w:sz w:val="20"/>
          <w:szCs w:val="20"/>
        </w:rPr>
        <w:t>Lynn Andres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and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Pauline Palko</w:t>
      </w:r>
    </w:p>
    <w:p w14:paraId="5CC8F879" w14:textId="2856C79A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7B02D8" w:rsidRPr="00292FAC">
        <w:rPr>
          <w:rFonts w:ascii="Calibri" w:eastAsia="Calibri" w:hAnsi="Calibri" w:cs="Calibri"/>
          <w:sz w:val="20"/>
          <w:szCs w:val="20"/>
        </w:rPr>
        <w:t>Lynn Andres and Donna Simpson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315007A5" w:rsidR="00C04DB8" w:rsidRPr="00292FAC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  <w:r w:rsidR="002C61CF">
        <w:rPr>
          <w:sz w:val="20"/>
          <w:szCs w:val="20"/>
        </w:rPr>
        <w:t xml:space="preserve"> -Geri Barber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1"/>
  </w:num>
  <w:num w:numId="4">
    <w:abstractNumId w:val="13"/>
  </w:num>
  <w:num w:numId="5">
    <w:abstractNumId w:val="4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40"/>
  </w:num>
  <w:num w:numId="11">
    <w:abstractNumId w:val="27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34"/>
  </w:num>
  <w:num w:numId="17">
    <w:abstractNumId w:val="39"/>
  </w:num>
  <w:num w:numId="18">
    <w:abstractNumId w:val="18"/>
  </w:num>
  <w:num w:numId="19">
    <w:abstractNumId w:val="11"/>
  </w:num>
  <w:num w:numId="20">
    <w:abstractNumId w:val="1"/>
  </w:num>
  <w:num w:numId="21">
    <w:abstractNumId w:val="40"/>
  </w:num>
  <w:num w:numId="22">
    <w:abstractNumId w:val="10"/>
  </w:num>
  <w:num w:numId="23">
    <w:abstractNumId w:val="15"/>
  </w:num>
  <w:num w:numId="24">
    <w:abstractNumId w:val="12"/>
  </w:num>
  <w:num w:numId="25">
    <w:abstractNumId w:val="33"/>
  </w:num>
  <w:num w:numId="26">
    <w:abstractNumId w:val="30"/>
  </w:num>
  <w:num w:numId="27">
    <w:abstractNumId w:val="26"/>
  </w:num>
  <w:num w:numId="28">
    <w:abstractNumId w:val="3"/>
  </w:num>
  <w:num w:numId="29">
    <w:abstractNumId w:val="0"/>
  </w:num>
  <w:num w:numId="30">
    <w:abstractNumId w:val="26"/>
  </w:num>
  <w:num w:numId="31">
    <w:abstractNumId w:val="38"/>
  </w:num>
  <w:num w:numId="32">
    <w:abstractNumId w:val="7"/>
  </w:num>
  <w:num w:numId="33">
    <w:abstractNumId w:val="21"/>
  </w:num>
  <w:num w:numId="34">
    <w:abstractNumId w:val="6"/>
  </w:num>
  <w:num w:numId="35">
    <w:abstractNumId w:val="25"/>
  </w:num>
  <w:num w:numId="36">
    <w:abstractNumId w:val="2"/>
  </w:num>
  <w:num w:numId="37">
    <w:abstractNumId w:val="5"/>
  </w:num>
  <w:num w:numId="38">
    <w:abstractNumId w:val="36"/>
  </w:num>
  <w:num w:numId="39">
    <w:abstractNumId w:val="23"/>
  </w:num>
  <w:num w:numId="40">
    <w:abstractNumId w:val="14"/>
  </w:num>
  <w:num w:numId="41">
    <w:abstractNumId w:val="32"/>
  </w:num>
  <w:num w:numId="42">
    <w:abstractNumId w:val="41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1517"/>
    <w:rsid w:val="00166DE9"/>
    <w:rsid w:val="00173267"/>
    <w:rsid w:val="00176CEF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34A00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70ff6864-8f73-4f8f-96c8-9709fbe298b5"/>
    <ds:schemaRef ds:uri="http://www.w3.org/XML/1998/namespace"/>
    <ds:schemaRef ds:uri="http://schemas.openxmlformats.org/package/2006/metadata/core-properties"/>
    <ds:schemaRef ds:uri="http://schemas.microsoft.com/sharepoint/v3"/>
    <ds:schemaRef ds:uri="744b113e-8fef-4fd1-97c1-805145fed39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C5EBB-688A-4EC7-902C-6B5A1BC3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8D6D9-F074-407B-83B4-162A7F1E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2022-01-03T21:53:00Z</cp:lastPrinted>
  <dcterms:created xsi:type="dcterms:W3CDTF">2022-05-13T17:11:00Z</dcterms:created>
  <dcterms:modified xsi:type="dcterms:W3CDTF">2022-05-13T17:11:00Z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