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15CE5" w14:textId="1127DA0A" w:rsidR="00DB4BDE" w:rsidRPr="00DE3226" w:rsidRDefault="00DB4BDE" w:rsidP="00DB4BDE">
      <w:pPr>
        <w:pStyle w:val="BodyA"/>
        <w:suppressAutoHyphens/>
        <w:jc w:val="center"/>
        <w:rPr>
          <w:rStyle w:val="PageNumber"/>
          <w:rFonts w:ascii="Times New Roman" w:hAnsi="Times New Roman" w:cs="Times New Roman"/>
          <w:b/>
        </w:rPr>
      </w:pPr>
      <w:r w:rsidRPr="00DE3226">
        <w:rPr>
          <w:rStyle w:val="PageNumber"/>
          <w:rFonts w:ascii="Times New Roman" w:hAnsi="Times New Roman" w:cs="Times New Roman"/>
          <w:b/>
        </w:rPr>
        <w:t xml:space="preserve">Proposal: Health Humanities Concentration </w:t>
      </w:r>
    </w:p>
    <w:p w14:paraId="3C4E1186" w14:textId="77777777" w:rsidR="00DB4BDE" w:rsidRPr="00DE3226" w:rsidRDefault="00DB4BDE" w:rsidP="001506F0">
      <w:pPr>
        <w:pStyle w:val="BodyA"/>
        <w:suppressAutoHyphens/>
        <w:rPr>
          <w:rStyle w:val="PageNumber"/>
          <w:rFonts w:ascii="Times New Roman" w:hAnsi="Times New Roman" w:cs="Times New Roman"/>
        </w:rPr>
      </w:pPr>
    </w:p>
    <w:p w14:paraId="59D57EEC" w14:textId="60EB436D" w:rsidR="001506F0" w:rsidRPr="00DE3226" w:rsidRDefault="001506F0" w:rsidP="00C855B8">
      <w:pPr>
        <w:pStyle w:val="BodyA"/>
        <w:numPr>
          <w:ilvl w:val="0"/>
          <w:numId w:val="4"/>
        </w:numPr>
        <w:suppressAutoHyphens/>
        <w:rPr>
          <w:rStyle w:val="PageNumber"/>
          <w:rFonts w:ascii="Times New Roman" w:hAnsi="Times New Roman" w:cs="Times New Roman"/>
          <w:b/>
        </w:rPr>
      </w:pPr>
      <w:r w:rsidRPr="00DE3226">
        <w:rPr>
          <w:rStyle w:val="PageNumber"/>
          <w:rFonts w:ascii="Times New Roman" w:hAnsi="Times New Roman" w:cs="Times New Roman"/>
          <w:b/>
        </w:rPr>
        <w:t>Executive Summary</w:t>
      </w:r>
    </w:p>
    <w:p w14:paraId="6E7301FE" w14:textId="77777777" w:rsidR="001506F0" w:rsidRPr="00DE3226" w:rsidRDefault="001506F0" w:rsidP="001506F0">
      <w:pPr>
        <w:pStyle w:val="BodyA"/>
        <w:suppressAutoHyphens/>
        <w:rPr>
          <w:rStyle w:val="PageNumber"/>
          <w:rFonts w:ascii="Times New Roman" w:hAnsi="Times New Roman" w:cs="Times New Roman"/>
        </w:rPr>
      </w:pPr>
    </w:p>
    <w:p w14:paraId="76D7CC91" w14:textId="5F1BC6BB" w:rsidR="00545DD4" w:rsidRPr="00DE3226" w:rsidRDefault="001506F0" w:rsidP="001506F0">
      <w:pPr>
        <w:pStyle w:val="BodyA"/>
        <w:suppressAutoHyphens/>
        <w:rPr>
          <w:rStyle w:val="PageNumber"/>
          <w:rFonts w:ascii="Times New Roman" w:hAnsi="Times New Roman" w:cs="Times New Roman"/>
        </w:rPr>
      </w:pPr>
      <w:r w:rsidRPr="00DE3226">
        <w:rPr>
          <w:rStyle w:val="PageNumber"/>
          <w:rFonts w:ascii="Times New Roman" w:hAnsi="Times New Roman" w:cs="Times New Roman"/>
        </w:rPr>
        <w:t xml:space="preserve">This application proposes the development of a new Health Humanities (HH) concentration at The University of Scranton. </w:t>
      </w:r>
      <w:r w:rsidRPr="00B23272">
        <w:rPr>
          <w:rStyle w:val="PageNumber"/>
          <w:rFonts w:ascii="Times New Roman" w:hAnsi="Times New Roman" w:cs="Times New Roman"/>
          <w:b/>
          <w:bCs/>
        </w:rPr>
        <w:t>Th</w:t>
      </w:r>
      <w:r w:rsidR="00384906" w:rsidRPr="00B23272">
        <w:rPr>
          <w:rStyle w:val="PageNumber"/>
          <w:rFonts w:ascii="Times New Roman" w:hAnsi="Times New Roman" w:cs="Times New Roman"/>
          <w:b/>
          <w:bCs/>
        </w:rPr>
        <w:t>e</w:t>
      </w:r>
      <w:r w:rsidRPr="00B23272">
        <w:rPr>
          <w:rStyle w:val="PageNumber"/>
          <w:rFonts w:ascii="Times New Roman" w:hAnsi="Times New Roman" w:cs="Times New Roman"/>
          <w:b/>
          <w:bCs/>
        </w:rPr>
        <w:t xml:space="preserve"> concentration emphasize</w:t>
      </w:r>
      <w:r w:rsidR="00CE1362" w:rsidRPr="00B23272">
        <w:rPr>
          <w:rStyle w:val="PageNumber"/>
          <w:rFonts w:ascii="Times New Roman" w:hAnsi="Times New Roman" w:cs="Times New Roman"/>
          <w:b/>
          <w:bCs/>
        </w:rPr>
        <w:t>s</w:t>
      </w:r>
      <w:r w:rsidRPr="00B23272">
        <w:rPr>
          <w:rStyle w:val="PageNumber"/>
          <w:rFonts w:ascii="Times New Roman" w:hAnsi="Times New Roman" w:cs="Times New Roman"/>
          <w:b/>
          <w:bCs/>
        </w:rPr>
        <w:t xml:space="preserve"> the integral role</w:t>
      </w:r>
      <w:r w:rsidR="00B438BA" w:rsidRPr="00B23272">
        <w:rPr>
          <w:rStyle w:val="PageNumber"/>
          <w:rFonts w:ascii="Times New Roman" w:hAnsi="Times New Roman" w:cs="Times New Roman"/>
          <w:b/>
          <w:bCs/>
        </w:rPr>
        <w:t xml:space="preserve"> played historically and presently by</w:t>
      </w:r>
      <w:r w:rsidRPr="00B23272">
        <w:rPr>
          <w:rStyle w:val="PageNumber"/>
          <w:rFonts w:ascii="Times New Roman" w:hAnsi="Times New Roman" w:cs="Times New Roman"/>
          <w:b/>
          <w:bCs/>
        </w:rPr>
        <w:t xml:space="preserve"> the humanities in shaping and transforming healthcare, health, and well-being. It aims not only </w:t>
      </w:r>
      <w:r w:rsidR="00ED28B2" w:rsidRPr="00B23272">
        <w:rPr>
          <w:rStyle w:val="PageNumber"/>
          <w:rFonts w:ascii="Times New Roman" w:hAnsi="Times New Roman" w:cs="Times New Roman"/>
          <w:b/>
          <w:bCs/>
        </w:rPr>
        <w:t>to provide</w:t>
      </w:r>
      <w:r w:rsidRPr="00B23272">
        <w:rPr>
          <w:rStyle w:val="PageNumber"/>
          <w:rFonts w:ascii="Times New Roman" w:hAnsi="Times New Roman" w:cs="Times New Roman"/>
          <w:b/>
          <w:bCs/>
        </w:rPr>
        <w:t xml:space="preserve"> a comprehensive </w:t>
      </w:r>
      <w:r w:rsidR="00CE1362" w:rsidRPr="00B23272">
        <w:rPr>
          <w:rStyle w:val="PageNumber"/>
          <w:rFonts w:ascii="Times New Roman" w:hAnsi="Times New Roman" w:cs="Times New Roman"/>
          <w:b/>
          <w:bCs/>
        </w:rPr>
        <w:t xml:space="preserve">humanistic </w:t>
      </w:r>
      <w:r w:rsidRPr="00B23272">
        <w:rPr>
          <w:rStyle w:val="PageNumber"/>
          <w:rFonts w:ascii="Times New Roman" w:hAnsi="Times New Roman" w:cs="Times New Roman"/>
          <w:b/>
          <w:bCs/>
        </w:rPr>
        <w:t>education to the students enrolled in the programs for the health professions</w:t>
      </w:r>
      <w:r w:rsidR="00ED28B2" w:rsidRPr="00B23272">
        <w:rPr>
          <w:rStyle w:val="PageNumber"/>
          <w:rFonts w:ascii="Times New Roman" w:hAnsi="Times New Roman" w:cs="Times New Roman"/>
          <w:b/>
          <w:bCs/>
        </w:rPr>
        <w:t xml:space="preserve">, but also </w:t>
      </w:r>
      <w:r w:rsidRPr="00B23272">
        <w:rPr>
          <w:rStyle w:val="PageNumber"/>
          <w:rFonts w:ascii="Times New Roman" w:hAnsi="Times New Roman" w:cs="Times New Roman"/>
          <w:b/>
          <w:bCs/>
        </w:rPr>
        <w:t xml:space="preserve">to develop new pedagogical practices informed by interdisciplinarity, </w:t>
      </w:r>
      <w:r w:rsidR="00D345CB" w:rsidRPr="00B23272">
        <w:rPr>
          <w:rStyle w:val="PageNumber"/>
          <w:rFonts w:ascii="Times New Roman" w:hAnsi="Times New Roman" w:cs="Times New Roman"/>
          <w:b/>
          <w:bCs/>
        </w:rPr>
        <w:t>experiential</w:t>
      </w:r>
      <w:r w:rsidR="0050598A" w:rsidRPr="00B23272">
        <w:rPr>
          <w:rStyle w:val="PageNumber"/>
          <w:rFonts w:ascii="Times New Roman" w:hAnsi="Times New Roman" w:cs="Times New Roman"/>
          <w:b/>
          <w:bCs/>
        </w:rPr>
        <w:t xml:space="preserve"> and community-based</w:t>
      </w:r>
      <w:r w:rsidR="00D345CB" w:rsidRPr="00B23272">
        <w:rPr>
          <w:rStyle w:val="PageNumber"/>
          <w:rFonts w:ascii="Times New Roman" w:hAnsi="Times New Roman" w:cs="Times New Roman"/>
          <w:b/>
          <w:bCs/>
        </w:rPr>
        <w:t xml:space="preserve"> </w:t>
      </w:r>
      <w:r w:rsidRPr="00B23272">
        <w:rPr>
          <w:rStyle w:val="PageNumber"/>
          <w:rFonts w:ascii="Times New Roman" w:hAnsi="Times New Roman" w:cs="Times New Roman"/>
          <w:b/>
          <w:bCs/>
        </w:rPr>
        <w:t>learning, and diversity and intercultural competenc</w:t>
      </w:r>
      <w:r w:rsidR="00384906" w:rsidRPr="00B23272">
        <w:rPr>
          <w:rStyle w:val="PageNumber"/>
          <w:rFonts w:ascii="Times New Roman" w:hAnsi="Times New Roman" w:cs="Times New Roman"/>
          <w:b/>
          <w:bCs/>
        </w:rPr>
        <w:t>e</w:t>
      </w:r>
      <w:r w:rsidRPr="00B23272">
        <w:rPr>
          <w:rStyle w:val="PageNumber"/>
          <w:rFonts w:ascii="Times New Roman" w:hAnsi="Times New Roman" w:cs="Times New Roman"/>
          <w:b/>
          <w:bCs/>
        </w:rPr>
        <w:t>.</w:t>
      </w:r>
    </w:p>
    <w:p w14:paraId="6D3A93EA" w14:textId="77777777" w:rsidR="001506F0" w:rsidRPr="00DE3226" w:rsidRDefault="001506F0" w:rsidP="001506F0">
      <w:pPr>
        <w:pStyle w:val="BodyA"/>
        <w:suppressAutoHyphens/>
        <w:rPr>
          <w:rFonts w:ascii="Times New Roman" w:eastAsia="Times New Roman" w:hAnsi="Times New Roman" w:cs="Times New Roman"/>
        </w:rPr>
      </w:pPr>
    </w:p>
    <w:p w14:paraId="7B49634D" w14:textId="643B865C" w:rsidR="001506F0" w:rsidRPr="00DE3226" w:rsidRDefault="001506F0" w:rsidP="001506F0">
      <w:pPr>
        <w:pStyle w:val="BodyA"/>
        <w:suppressAutoHyphens/>
        <w:rPr>
          <w:rStyle w:val="PageNumber"/>
          <w:rFonts w:ascii="Times New Roman" w:eastAsia="Times New Roman" w:hAnsi="Times New Roman" w:cs="Times New Roman"/>
        </w:rPr>
      </w:pPr>
      <w:r w:rsidRPr="00DE3226">
        <w:rPr>
          <w:rStyle w:val="PageNumber"/>
          <w:rFonts w:ascii="Times New Roman" w:hAnsi="Times New Roman" w:cs="Times New Roman"/>
          <w:b/>
          <w:bCs/>
        </w:rPr>
        <w:t>Interdisciplinarity</w:t>
      </w:r>
      <w:r w:rsidRPr="00DE3226">
        <w:rPr>
          <w:rStyle w:val="PageNumber"/>
          <w:rFonts w:ascii="Times New Roman" w:hAnsi="Times New Roman" w:cs="Times New Roman"/>
        </w:rPr>
        <w:t xml:space="preserve">: </w:t>
      </w:r>
      <w:r w:rsidR="00B438BA" w:rsidRPr="00B23272">
        <w:rPr>
          <w:rStyle w:val="PageNumber"/>
          <w:rFonts w:ascii="Times New Roman" w:hAnsi="Times New Roman" w:cs="Times New Roman"/>
        </w:rPr>
        <w:t xml:space="preserve">The concentration is considered “interdisciplinary” because of the ways the curricular offerings range across many disciplines already offered at The University of Scranton. </w:t>
      </w:r>
      <w:r w:rsidR="00BA0F79" w:rsidRPr="00B23272">
        <w:rPr>
          <w:rStyle w:val="PageNumber"/>
          <w:rFonts w:ascii="Times New Roman" w:hAnsi="Times New Roman" w:cs="Times New Roman"/>
        </w:rPr>
        <w:t>(</w:t>
      </w:r>
      <w:r w:rsidR="002507A2" w:rsidRPr="00B23272">
        <w:rPr>
          <w:rStyle w:val="PageNumber"/>
          <w:rFonts w:ascii="Times New Roman" w:hAnsi="Times New Roman" w:cs="Times New Roman"/>
          <w:b/>
          <w:bCs/>
        </w:rPr>
        <w:t xml:space="preserve">Though </w:t>
      </w:r>
      <w:r w:rsidR="00C82C5B" w:rsidRPr="00B23272">
        <w:rPr>
          <w:rStyle w:val="PageNumber"/>
          <w:rFonts w:ascii="Times New Roman" w:hAnsi="Times New Roman" w:cs="Times New Roman"/>
          <w:b/>
          <w:bCs/>
        </w:rPr>
        <w:t xml:space="preserve">the institution uses </w:t>
      </w:r>
      <w:r w:rsidR="00B438BA" w:rsidRPr="00B23272">
        <w:rPr>
          <w:rStyle w:val="PageNumber"/>
          <w:rFonts w:ascii="Times New Roman" w:hAnsi="Times New Roman" w:cs="Times New Roman"/>
          <w:b/>
          <w:bCs/>
        </w:rPr>
        <w:t>the term “</w:t>
      </w:r>
      <w:r w:rsidR="002507A2" w:rsidRPr="00B23272">
        <w:rPr>
          <w:rStyle w:val="PageNumber"/>
          <w:rFonts w:ascii="Times New Roman" w:hAnsi="Times New Roman" w:cs="Times New Roman"/>
          <w:b/>
          <w:bCs/>
        </w:rPr>
        <w:t>i</w:t>
      </w:r>
      <w:r w:rsidR="00B438BA" w:rsidRPr="00B23272">
        <w:rPr>
          <w:rStyle w:val="PageNumber"/>
          <w:rFonts w:ascii="Times New Roman" w:hAnsi="Times New Roman" w:cs="Times New Roman"/>
          <w:b/>
          <w:bCs/>
        </w:rPr>
        <w:t>nterdisciplinary”</w:t>
      </w:r>
      <w:r w:rsidR="0050598A" w:rsidRPr="00B23272">
        <w:rPr>
          <w:rStyle w:val="PageNumber"/>
          <w:rFonts w:ascii="Times New Roman" w:hAnsi="Times New Roman" w:cs="Times New Roman"/>
          <w:b/>
          <w:bCs/>
        </w:rPr>
        <w:t xml:space="preserve"> in the catalog</w:t>
      </w:r>
      <w:r w:rsidR="00B438BA" w:rsidRPr="00B23272">
        <w:rPr>
          <w:rStyle w:val="PageNumber"/>
          <w:rFonts w:ascii="Times New Roman" w:hAnsi="Times New Roman" w:cs="Times New Roman"/>
          <w:b/>
          <w:bCs/>
        </w:rPr>
        <w:t xml:space="preserve"> </w:t>
      </w:r>
      <w:r w:rsidR="00C82C5B" w:rsidRPr="00B23272">
        <w:rPr>
          <w:rStyle w:val="PageNumber"/>
          <w:rFonts w:ascii="Times New Roman" w:hAnsi="Times New Roman" w:cs="Times New Roman"/>
          <w:b/>
          <w:bCs/>
        </w:rPr>
        <w:t xml:space="preserve">to refer to </w:t>
      </w:r>
      <w:r w:rsidR="00B438BA" w:rsidRPr="00B23272">
        <w:rPr>
          <w:rStyle w:val="PageNumber"/>
          <w:rFonts w:ascii="Times New Roman" w:hAnsi="Times New Roman" w:cs="Times New Roman"/>
          <w:b/>
          <w:bCs/>
        </w:rPr>
        <w:t xml:space="preserve">courses </w:t>
      </w:r>
      <w:r w:rsidR="00C82C5B" w:rsidRPr="00B23272">
        <w:rPr>
          <w:rStyle w:val="PageNumber"/>
          <w:rFonts w:ascii="Times New Roman" w:hAnsi="Times New Roman" w:cs="Times New Roman"/>
          <w:b/>
          <w:bCs/>
        </w:rPr>
        <w:t xml:space="preserve">that </w:t>
      </w:r>
      <w:r w:rsidR="00B438BA" w:rsidRPr="00B23272">
        <w:rPr>
          <w:rStyle w:val="PageNumber"/>
          <w:rFonts w:ascii="Times New Roman" w:hAnsi="Times New Roman" w:cs="Times New Roman"/>
          <w:b/>
          <w:bCs/>
        </w:rPr>
        <w:t xml:space="preserve">are team-taught, </w:t>
      </w:r>
      <w:r w:rsidR="002507A2" w:rsidRPr="00B23272">
        <w:rPr>
          <w:rStyle w:val="PageNumber"/>
          <w:rFonts w:ascii="Times New Roman" w:hAnsi="Times New Roman" w:cs="Times New Roman"/>
          <w:b/>
          <w:bCs/>
        </w:rPr>
        <w:t>we use this term more broadly to indicate</w:t>
      </w:r>
      <w:r w:rsidR="00B438BA" w:rsidRPr="00B23272">
        <w:rPr>
          <w:rStyle w:val="PageNumber"/>
          <w:rFonts w:ascii="Times New Roman" w:hAnsi="Times New Roman" w:cs="Times New Roman"/>
          <w:b/>
          <w:bCs/>
        </w:rPr>
        <w:t xml:space="preserve"> that the content</w:t>
      </w:r>
      <w:r w:rsidR="002507A2" w:rsidRPr="00B23272">
        <w:rPr>
          <w:rStyle w:val="PageNumber"/>
          <w:rFonts w:ascii="Times New Roman" w:hAnsi="Times New Roman" w:cs="Times New Roman"/>
          <w:b/>
          <w:bCs/>
        </w:rPr>
        <w:t xml:space="preserve"> of the concentration</w:t>
      </w:r>
      <w:r w:rsidR="00B438BA" w:rsidRPr="00B23272">
        <w:rPr>
          <w:rStyle w:val="PageNumber"/>
          <w:rFonts w:ascii="Times New Roman" w:hAnsi="Times New Roman" w:cs="Times New Roman"/>
          <w:b/>
          <w:bCs/>
        </w:rPr>
        <w:t xml:space="preserve"> transcends the disciplines in which that content is housed.</w:t>
      </w:r>
      <w:r w:rsidR="00CE453B" w:rsidRPr="00B23272">
        <w:rPr>
          <w:rStyle w:val="PageNumber"/>
          <w:rFonts w:ascii="Times New Roman" w:hAnsi="Times New Roman" w:cs="Times New Roman"/>
        </w:rPr>
        <w:t>)</w:t>
      </w:r>
      <w:r w:rsidR="00B438BA">
        <w:rPr>
          <w:rStyle w:val="PageNumber"/>
          <w:rFonts w:ascii="Times New Roman" w:hAnsi="Times New Roman" w:cs="Times New Roman"/>
        </w:rPr>
        <w:t xml:space="preserve"> In the Jesuit tradition of studying the human person in the fullest context possible, the Health Humanities Concentration focuses students’ attention on the multivalent factors influencing human flourishing.</w:t>
      </w:r>
      <w:r w:rsidR="0050598A">
        <w:rPr>
          <w:rStyle w:val="PageNumber"/>
          <w:rFonts w:ascii="Times New Roman" w:hAnsi="Times New Roman" w:cs="Times New Roman"/>
        </w:rPr>
        <w:t xml:space="preserve"> H</w:t>
      </w:r>
      <w:r w:rsidR="00C72F8A">
        <w:rPr>
          <w:rStyle w:val="PageNumber"/>
          <w:rFonts w:ascii="Times New Roman" w:hAnsi="Times New Roman" w:cs="Times New Roman"/>
        </w:rPr>
        <w:t>umanities electives</w:t>
      </w:r>
      <w:r w:rsidRPr="00DE3226">
        <w:rPr>
          <w:rStyle w:val="PageNumber"/>
          <w:rFonts w:ascii="Times New Roman" w:hAnsi="Times New Roman" w:cs="Times New Roman"/>
        </w:rPr>
        <w:t xml:space="preserve"> in different</w:t>
      </w:r>
      <w:r w:rsidR="00DB4BDE" w:rsidRPr="00DE3226">
        <w:rPr>
          <w:rStyle w:val="PageNumber"/>
          <w:rFonts w:ascii="Times New Roman" w:hAnsi="Times New Roman" w:cs="Times New Roman"/>
        </w:rPr>
        <w:t xml:space="preserve"> humanities</w:t>
      </w:r>
      <w:r w:rsidRPr="00DE3226">
        <w:rPr>
          <w:rStyle w:val="PageNumber"/>
          <w:rFonts w:ascii="Times New Roman" w:hAnsi="Times New Roman" w:cs="Times New Roman"/>
        </w:rPr>
        <w:t xml:space="preserve"> departments </w:t>
      </w:r>
      <w:r w:rsidR="008B7044" w:rsidRPr="00DE3226">
        <w:rPr>
          <w:rStyle w:val="PageNumber"/>
          <w:rFonts w:ascii="Times New Roman" w:hAnsi="Times New Roman" w:cs="Times New Roman"/>
        </w:rPr>
        <w:t xml:space="preserve">(English and Theatre, Philosophy, Latin American and Women’s </w:t>
      </w:r>
      <w:r w:rsidR="00174A35" w:rsidRPr="00DE3226">
        <w:rPr>
          <w:rStyle w:val="PageNumber"/>
          <w:rFonts w:ascii="Times New Roman" w:hAnsi="Times New Roman" w:cs="Times New Roman"/>
        </w:rPr>
        <w:t>and</w:t>
      </w:r>
      <w:r w:rsidR="008B7044" w:rsidRPr="00DE3226">
        <w:rPr>
          <w:rStyle w:val="PageNumber"/>
          <w:rFonts w:ascii="Times New Roman" w:hAnsi="Times New Roman" w:cs="Times New Roman"/>
        </w:rPr>
        <w:t xml:space="preserve"> Gender Studies,</w:t>
      </w:r>
      <w:r w:rsidR="00684FD7">
        <w:rPr>
          <w:rStyle w:val="PageNumber"/>
          <w:rFonts w:ascii="Times New Roman" w:hAnsi="Times New Roman" w:cs="Times New Roman"/>
        </w:rPr>
        <w:t xml:space="preserve"> Philosophy,</w:t>
      </w:r>
      <w:r w:rsidR="008B7044" w:rsidRPr="00DE3226">
        <w:rPr>
          <w:rStyle w:val="PageNumber"/>
          <w:rFonts w:ascii="Times New Roman" w:hAnsi="Times New Roman" w:cs="Times New Roman"/>
        </w:rPr>
        <w:t xml:space="preserve"> </w:t>
      </w:r>
      <w:r w:rsidRPr="00DE3226">
        <w:rPr>
          <w:rStyle w:val="PageNumber"/>
          <w:rFonts w:ascii="Times New Roman" w:hAnsi="Times New Roman" w:cs="Times New Roman"/>
        </w:rPr>
        <w:t xml:space="preserve">Theology and Religious Studies, </w:t>
      </w:r>
      <w:r w:rsidR="008B7044" w:rsidRPr="00DE3226">
        <w:rPr>
          <w:rStyle w:val="PageNumber"/>
          <w:rFonts w:ascii="Times New Roman" w:hAnsi="Times New Roman" w:cs="Times New Roman"/>
        </w:rPr>
        <w:t xml:space="preserve">and </w:t>
      </w:r>
      <w:r w:rsidRPr="00DE3226">
        <w:rPr>
          <w:rStyle w:val="PageNumber"/>
          <w:rFonts w:ascii="Times New Roman" w:hAnsi="Times New Roman" w:cs="Times New Roman"/>
        </w:rPr>
        <w:t>World Languages and Cultures</w:t>
      </w:r>
      <w:r w:rsidR="008B7044" w:rsidRPr="00DE3226">
        <w:rPr>
          <w:rStyle w:val="PageNumber"/>
          <w:rFonts w:ascii="Times New Roman" w:hAnsi="Times New Roman" w:cs="Times New Roman"/>
        </w:rPr>
        <w:t>)</w:t>
      </w:r>
      <w:r w:rsidRPr="00DE3226">
        <w:rPr>
          <w:rStyle w:val="PageNumber"/>
          <w:rFonts w:ascii="Times New Roman" w:hAnsi="Times New Roman" w:cs="Times New Roman"/>
        </w:rPr>
        <w:t xml:space="preserve"> will address issues of medical ethics; cultural, ethnic, and religious perspectives on illness, injury, and disability; diachronic views of medicine, health, and well-being; the relationship between community and health; narrative medicine; and communication, translation, and interpretation practices within healthcare settings.</w:t>
      </w:r>
    </w:p>
    <w:p w14:paraId="4973855F" w14:textId="77777777" w:rsidR="001506F0" w:rsidRPr="00DE3226" w:rsidRDefault="001506F0" w:rsidP="001506F0">
      <w:pPr>
        <w:pStyle w:val="BodyA"/>
        <w:suppressAutoHyphens/>
        <w:rPr>
          <w:rFonts w:ascii="Times New Roman" w:eastAsia="Times New Roman" w:hAnsi="Times New Roman" w:cs="Times New Roman"/>
        </w:rPr>
      </w:pPr>
    </w:p>
    <w:p w14:paraId="6FD065D9" w14:textId="7C17BCE1" w:rsidR="001506F0" w:rsidRPr="00DE3226" w:rsidRDefault="0050598A" w:rsidP="001506F0">
      <w:pPr>
        <w:pStyle w:val="BodyA"/>
        <w:suppressAutoHyphens/>
        <w:rPr>
          <w:rStyle w:val="PageNumber"/>
          <w:rFonts w:ascii="Times New Roman" w:eastAsia="Times New Roman" w:hAnsi="Times New Roman" w:cs="Times New Roman"/>
        </w:rPr>
      </w:pPr>
      <w:r>
        <w:rPr>
          <w:rStyle w:val="PageNumber"/>
          <w:rFonts w:ascii="Times New Roman" w:hAnsi="Times New Roman" w:cs="Times New Roman"/>
          <w:b/>
          <w:bCs/>
        </w:rPr>
        <w:t>Experiential and c</w:t>
      </w:r>
      <w:r w:rsidR="001506F0" w:rsidRPr="00DE3226">
        <w:rPr>
          <w:rStyle w:val="PageNumber"/>
          <w:rFonts w:ascii="Times New Roman" w:hAnsi="Times New Roman" w:cs="Times New Roman"/>
          <w:b/>
          <w:bCs/>
        </w:rPr>
        <w:t>ommunity-based learning</w:t>
      </w:r>
      <w:r w:rsidR="001506F0" w:rsidRPr="00DE3226">
        <w:rPr>
          <w:rStyle w:val="PageNumber"/>
          <w:rFonts w:ascii="Times New Roman" w:hAnsi="Times New Roman" w:cs="Times New Roman"/>
        </w:rPr>
        <w:t xml:space="preserve">: In line with the </w:t>
      </w:r>
      <w:r w:rsidR="00DB4BDE" w:rsidRPr="00DE3226">
        <w:rPr>
          <w:rStyle w:val="PageNumber"/>
          <w:rFonts w:ascii="Times New Roman" w:hAnsi="Times New Roman" w:cs="Times New Roman"/>
        </w:rPr>
        <w:t>U</w:t>
      </w:r>
      <w:r w:rsidR="001506F0" w:rsidRPr="00DE3226">
        <w:rPr>
          <w:rStyle w:val="PageNumber"/>
          <w:rFonts w:ascii="Times New Roman" w:hAnsi="Times New Roman" w:cs="Times New Roman"/>
        </w:rPr>
        <w:t xml:space="preserve">niversity’s Jesuit mission and values, the </w:t>
      </w:r>
      <w:proofErr w:type="spellStart"/>
      <w:r w:rsidR="001506F0" w:rsidRPr="00DE3226">
        <w:rPr>
          <w:rStyle w:val="PageNumber"/>
          <w:rFonts w:ascii="Times New Roman" w:hAnsi="Times New Roman" w:cs="Times New Roman"/>
        </w:rPr>
        <w:t>Panuska</w:t>
      </w:r>
      <w:proofErr w:type="spellEnd"/>
      <w:r w:rsidR="001506F0" w:rsidRPr="00DE3226">
        <w:rPr>
          <w:rStyle w:val="PageNumber"/>
          <w:rFonts w:ascii="Times New Roman" w:hAnsi="Times New Roman" w:cs="Times New Roman"/>
        </w:rPr>
        <w:t xml:space="preserve"> College of Professional Studies (PCPS) exemplifies critical and compassionate engagement through the Leahy Community Health and Family Center. This clinic for the uninsured serves both the community within the city of Scranton and university students, providing community healthcare services, and offering volunteering and formative disciplinary opportunities for students. </w:t>
      </w:r>
      <w:r w:rsidR="001506F0" w:rsidRPr="00B23272">
        <w:rPr>
          <w:rStyle w:val="PageNumber"/>
          <w:rFonts w:ascii="Times New Roman" w:hAnsi="Times New Roman" w:cs="Times New Roman"/>
          <w:b/>
          <w:bCs/>
        </w:rPr>
        <w:t xml:space="preserve">A number of courses in the proposed concentration incorporate experiential learning and </w:t>
      </w:r>
      <w:r w:rsidR="00384906" w:rsidRPr="00B23272">
        <w:rPr>
          <w:rStyle w:val="PageNumber"/>
          <w:rFonts w:ascii="Times New Roman" w:hAnsi="Times New Roman" w:cs="Times New Roman"/>
          <w:b/>
          <w:bCs/>
        </w:rPr>
        <w:t>service-learning</w:t>
      </w:r>
      <w:r w:rsidR="001506F0" w:rsidRPr="00B23272">
        <w:rPr>
          <w:rStyle w:val="PageNumber"/>
          <w:rFonts w:ascii="Times New Roman" w:hAnsi="Times New Roman" w:cs="Times New Roman"/>
          <w:b/>
          <w:bCs/>
        </w:rPr>
        <w:t xml:space="preserve"> approaches to health humanities.</w:t>
      </w:r>
      <w:r w:rsidR="00487FC9">
        <w:rPr>
          <w:rStyle w:val="PageNumber"/>
          <w:rFonts w:ascii="Times New Roman" w:hAnsi="Times New Roman" w:cs="Times New Roman"/>
        </w:rPr>
        <w:t xml:space="preserve"> </w:t>
      </w:r>
      <w:r w:rsidR="00CE1362" w:rsidRPr="00DE3226">
        <w:rPr>
          <w:rStyle w:val="PageNumber"/>
          <w:rFonts w:ascii="Times New Roman" w:hAnsi="Times New Roman" w:cs="Times New Roman"/>
        </w:rPr>
        <w:t>Furthermore, service to the region can take the form of community-based participatory research (CBPR) that has the potential to generate collaborative research for faculty, students, and the surrounding community.</w:t>
      </w:r>
      <w:r w:rsidR="00CE1362" w:rsidRPr="00DE3226">
        <w:rPr>
          <w:rStyle w:val="FootnoteReference"/>
          <w:rFonts w:ascii="Times New Roman" w:hAnsi="Times New Roman" w:cs="Times New Roman"/>
        </w:rPr>
        <w:footnoteReference w:id="1"/>
      </w:r>
      <w:r w:rsidR="00CD1214" w:rsidRPr="00DE3226">
        <w:rPr>
          <w:rStyle w:val="PageNumber"/>
          <w:rFonts w:ascii="Times New Roman" w:hAnsi="Times New Roman" w:cs="Times New Roman"/>
        </w:rPr>
        <w:t xml:space="preserve"> Courses will also collaborate with the Center for Service and Social Justice </w:t>
      </w:r>
      <w:r w:rsidR="00AC14DB" w:rsidRPr="00DE3226">
        <w:rPr>
          <w:rStyle w:val="PageNumber"/>
          <w:rFonts w:ascii="Times New Roman" w:hAnsi="Times New Roman" w:cs="Times New Roman"/>
        </w:rPr>
        <w:t>where possible to strengthen the institution’s commitment to faith seeking justice.</w:t>
      </w:r>
      <w:r w:rsidR="00AC14DB" w:rsidRPr="00DE3226">
        <w:rPr>
          <w:rStyle w:val="FootnoteReference"/>
          <w:rFonts w:ascii="Times New Roman" w:hAnsi="Times New Roman" w:cs="Times New Roman"/>
        </w:rPr>
        <w:footnoteReference w:id="2"/>
      </w:r>
    </w:p>
    <w:p w14:paraId="28E03BF5" w14:textId="77777777" w:rsidR="001506F0" w:rsidRPr="00DE3226" w:rsidRDefault="001506F0" w:rsidP="001506F0">
      <w:pPr>
        <w:pStyle w:val="BodyA"/>
        <w:suppressAutoHyphens/>
        <w:rPr>
          <w:rFonts w:ascii="Times New Roman" w:eastAsia="Times New Roman" w:hAnsi="Times New Roman" w:cs="Times New Roman"/>
        </w:rPr>
      </w:pPr>
    </w:p>
    <w:p w14:paraId="13B5B666" w14:textId="6D8032FE" w:rsidR="004D2DF8" w:rsidRPr="00DE3226" w:rsidRDefault="001506F0" w:rsidP="00DC520B">
      <w:pPr>
        <w:pStyle w:val="BodyA"/>
        <w:suppressAutoHyphens/>
        <w:rPr>
          <w:rStyle w:val="PageNumber"/>
          <w:rFonts w:ascii="Times New Roman" w:eastAsia="Times New Roman" w:hAnsi="Times New Roman" w:cs="Times New Roman"/>
        </w:rPr>
      </w:pPr>
      <w:r w:rsidRPr="00DE3226">
        <w:rPr>
          <w:rStyle w:val="PageNumber"/>
          <w:rFonts w:ascii="Times New Roman" w:hAnsi="Times New Roman" w:cs="Times New Roman"/>
          <w:b/>
          <w:bCs/>
        </w:rPr>
        <w:lastRenderedPageBreak/>
        <w:t>Diversity and intercultural competence</w:t>
      </w:r>
      <w:r w:rsidRPr="00DE3226">
        <w:rPr>
          <w:rStyle w:val="PageNumber"/>
          <w:rFonts w:ascii="Times New Roman" w:hAnsi="Times New Roman" w:cs="Times New Roman"/>
        </w:rPr>
        <w:t>: Diversity and inclusion are core institutional strengths critical to the educational mission of The University of Scranton.</w:t>
      </w:r>
      <w:r w:rsidR="00B438BA">
        <w:rPr>
          <w:rStyle w:val="PageNumber"/>
          <w:rFonts w:ascii="Times New Roman" w:hAnsi="Times New Roman" w:cs="Times New Roman"/>
        </w:rPr>
        <w:t xml:space="preserve"> Indeed, the Society of Jesus recently issued </w:t>
      </w:r>
      <w:r w:rsidR="00E333B0">
        <w:rPr>
          <w:rStyle w:val="PageNumber"/>
          <w:rFonts w:ascii="Times New Roman" w:hAnsi="Times New Roman" w:cs="Times New Roman"/>
        </w:rPr>
        <w:t>the</w:t>
      </w:r>
      <w:r w:rsidR="00B438BA">
        <w:rPr>
          <w:rStyle w:val="PageNumber"/>
          <w:rFonts w:ascii="Times New Roman" w:hAnsi="Times New Roman" w:cs="Times New Roman"/>
        </w:rPr>
        <w:t xml:space="preserve"> Four Apostolic Preferences for Jesuits</w:t>
      </w:r>
      <w:r w:rsidR="00B438BA">
        <w:rPr>
          <w:rStyle w:val="FootnoteReference"/>
          <w:rFonts w:ascii="Times New Roman" w:hAnsi="Times New Roman" w:cs="Times New Roman"/>
        </w:rPr>
        <w:footnoteReference w:id="3"/>
      </w:r>
      <w:r w:rsidR="00B438BA">
        <w:rPr>
          <w:rStyle w:val="PageNumber"/>
          <w:rFonts w:ascii="Times New Roman" w:hAnsi="Times New Roman" w:cs="Times New Roman"/>
        </w:rPr>
        <w:t xml:space="preserve"> across the world that will guide Jesuit initiatives for the next ten years (2019-2029): (1) </w:t>
      </w:r>
      <w:r w:rsidR="00B438BA" w:rsidRPr="005019BD">
        <w:rPr>
          <w:rStyle w:val="PageNumber"/>
          <w:rFonts w:ascii="Times New Roman" w:hAnsi="Times New Roman" w:cs="Times New Roman"/>
          <w:i/>
          <w:iCs/>
        </w:rPr>
        <w:t>To show the way to God through the Spiritual Exercises and discernment;</w:t>
      </w:r>
      <w:r w:rsidR="00B438BA">
        <w:rPr>
          <w:rStyle w:val="PageNumber"/>
          <w:rFonts w:ascii="Times New Roman" w:hAnsi="Times New Roman" w:cs="Times New Roman"/>
        </w:rPr>
        <w:t xml:space="preserve"> (2) </w:t>
      </w:r>
      <w:r w:rsidR="00B438BA" w:rsidRPr="005019BD">
        <w:rPr>
          <w:rStyle w:val="PageNumber"/>
          <w:rFonts w:ascii="Times New Roman" w:hAnsi="Times New Roman" w:cs="Times New Roman"/>
          <w:i/>
          <w:iCs/>
        </w:rPr>
        <w:t>To walk with the poor, the outcasts of the world, those whose dignity has been violated, in a mission of reconciliation and justice</w:t>
      </w:r>
      <w:r w:rsidR="00B438BA">
        <w:rPr>
          <w:rStyle w:val="PageNumber"/>
          <w:rFonts w:ascii="Times New Roman" w:hAnsi="Times New Roman" w:cs="Times New Roman"/>
        </w:rPr>
        <w:t xml:space="preserve">; (3) </w:t>
      </w:r>
      <w:r w:rsidR="00B438BA" w:rsidRPr="005019BD">
        <w:rPr>
          <w:rStyle w:val="PageNumber"/>
          <w:rFonts w:ascii="Times New Roman" w:hAnsi="Times New Roman" w:cs="Times New Roman"/>
          <w:i/>
          <w:iCs/>
        </w:rPr>
        <w:t>To accompany young people in the creation of a hope-filled future</w:t>
      </w:r>
      <w:r w:rsidR="00B438BA">
        <w:rPr>
          <w:rStyle w:val="PageNumber"/>
          <w:rFonts w:ascii="Times New Roman" w:hAnsi="Times New Roman" w:cs="Times New Roman"/>
        </w:rPr>
        <w:t xml:space="preserve">; (4) </w:t>
      </w:r>
      <w:r w:rsidR="00B438BA" w:rsidRPr="005019BD">
        <w:rPr>
          <w:rStyle w:val="PageNumber"/>
          <w:rFonts w:ascii="Times New Roman" w:hAnsi="Times New Roman" w:cs="Times New Roman"/>
          <w:i/>
          <w:iCs/>
        </w:rPr>
        <w:t>To collaborate in the care of our Common Home</w:t>
      </w:r>
      <w:r w:rsidR="00B438BA">
        <w:rPr>
          <w:rStyle w:val="PageNumber"/>
          <w:rFonts w:ascii="Times New Roman" w:hAnsi="Times New Roman" w:cs="Times New Roman"/>
        </w:rPr>
        <w:t>.</w:t>
      </w:r>
      <w:r w:rsidRPr="00DE3226">
        <w:rPr>
          <w:rStyle w:val="PageNumber"/>
          <w:rFonts w:ascii="Times New Roman" w:hAnsi="Times New Roman" w:cs="Times New Roman"/>
        </w:rPr>
        <w:t xml:space="preserve"> Humanities disciplines</w:t>
      </w:r>
      <w:r w:rsidR="00B438BA">
        <w:rPr>
          <w:rStyle w:val="PageNumber"/>
          <w:rFonts w:ascii="Times New Roman" w:hAnsi="Times New Roman" w:cs="Times New Roman"/>
        </w:rPr>
        <w:t xml:space="preserve"> are uniquely positioned to support this vision for the Society of Jesus</w:t>
      </w:r>
      <w:r w:rsidR="0050598A">
        <w:rPr>
          <w:rStyle w:val="PageNumber"/>
          <w:rFonts w:ascii="Times New Roman" w:hAnsi="Times New Roman" w:cs="Times New Roman"/>
        </w:rPr>
        <w:t>.</w:t>
      </w:r>
      <w:r w:rsidR="00B438BA">
        <w:rPr>
          <w:rStyle w:val="PageNumber"/>
          <w:rFonts w:ascii="Times New Roman" w:hAnsi="Times New Roman" w:cs="Times New Roman"/>
        </w:rPr>
        <w:t xml:space="preserve"> Humanities disciplines</w:t>
      </w:r>
      <w:r w:rsidRPr="00DE3226">
        <w:rPr>
          <w:rStyle w:val="PageNumber"/>
          <w:rFonts w:ascii="Times New Roman" w:hAnsi="Times New Roman" w:cs="Times New Roman"/>
        </w:rPr>
        <w:t xml:space="preserve"> have historically played a crucial role in developing intercultural sensitivity and nuanced understandings of ethnic, racial, economic, cultural, and religious diversity. </w:t>
      </w:r>
      <w:r w:rsidRPr="002C4C8F">
        <w:rPr>
          <w:rStyle w:val="PageNumber"/>
          <w:rFonts w:ascii="Times New Roman" w:hAnsi="Times New Roman" w:cs="Times New Roman"/>
          <w:b/>
          <w:bCs/>
        </w:rPr>
        <w:t>The proposed Health Humanities concentration will focus on instilling critically compassionate and empathetic approaches to healthcare, and on fostering intercultural and diversity competence as well as a culture of inclusion in the context of Scranton’s growing Hispanic population and the city’s history of welcoming refugees</w:t>
      </w:r>
      <w:r w:rsidR="00B23272">
        <w:rPr>
          <w:rStyle w:val="PageNumber"/>
          <w:rFonts w:ascii="Times New Roman" w:hAnsi="Times New Roman" w:cs="Times New Roman"/>
          <w:b/>
          <w:bCs/>
        </w:rPr>
        <w:t>.</w:t>
      </w:r>
      <w:r w:rsidR="00B23272" w:rsidRPr="00B23272">
        <w:rPr>
          <w:rStyle w:val="FootnoteReference"/>
          <w:rFonts w:ascii="Times New Roman" w:hAnsi="Times New Roman" w:cs="Times New Roman"/>
        </w:rPr>
        <w:footnoteReference w:id="4"/>
      </w:r>
      <w:r w:rsidR="00B23272">
        <w:rPr>
          <w:rStyle w:val="PageNumber"/>
          <w:rFonts w:ascii="Times New Roman" w:hAnsi="Times New Roman" w:cs="Times New Roman"/>
          <w:b/>
          <w:bCs/>
        </w:rPr>
        <w:t xml:space="preserve"> </w:t>
      </w:r>
      <w:r w:rsidR="0009069C">
        <w:rPr>
          <w:rStyle w:val="PageNumber"/>
          <w:rFonts w:ascii="Times New Roman" w:hAnsi="Times New Roman" w:cs="Times New Roman"/>
        </w:rPr>
        <w:t>Indeed, in</w:t>
      </w:r>
      <w:r w:rsidR="00482340">
        <w:rPr>
          <w:rStyle w:val="PageNumber"/>
          <w:rFonts w:ascii="Times New Roman" w:hAnsi="Times New Roman" w:cs="Times New Roman"/>
        </w:rPr>
        <w:t xml:space="preserve"> the current</w:t>
      </w:r>
      <w:r w:rsidR="0009069C">
        <w:rPr>
          <w:rStyle w:val="PageNumber"/>
          <w:rFonts w:ascii="Times New Roman" w:hAnsi="Times New Roman" w:cs="Times New Roman"/>
        </w:rPr>
        <w:t xml:space="preserve"> </w:t>
      </w:r>
      <w:r w:rsidR="00482340">
        <w:rPr>
          <w:rStyle w:val="PageNumber"/>
          <w:rFonts w:ascii="Times New Roman" w:hAnsi="Times New Roman" w:cs="Times New Roman"/>
        </w:rPr>
        <w:t>context of pandemic pedagogy</w:t>
      </w:r>
      <w:r w:rsidR="0009069C">
        <w:rPr>
          <w:rStyle w:val="PageNumber"/>
          <w:rFonts w:ascii="Times New Roman" w:hAnsi="Times New Roman" w:cs="Times New Roman"/>
        </w:rPr>
        <w:t>, one prominent Medical Humanities Director called for recognition that the Humanities are “Essential Services” for public health.</w:t>
      </w:r>
      <w:r w:rsidR="0009069C">
        <w:rPr>
          <w:rStyle w:val="FootnoteReference"/>
          <w:rFonts w:ascii="Times New Roman" w:hAnsi="Times New Roman" w:cs="Times New Roman"/>
        </w:rPr>
        <w:footnoteReference w:id="5"/>
      </w:r>
    </w:p>
    <w:p w14:paraId="7B3B0C0A" w14:textId="77777777" w:rsidR="001506F0" w:rsidRPr="00DE3226" w:rsidRDefault="001506F0" w:rsidP="004D2DF8">
      <w:pPr>
        <w:pStyle w:val="BodyA"/>
        <w:suppressAutoHyphens/>
        <w:rPr>
          <w:rFonts w:ascii="Times New Roman" w:eastAsia="Times New Roman" w:hAnsi="Times New Roman" w:cs="Times New Roman"/>
        </w:rPr>
      </w:pPr>
    </w:p>
    <w:p w14:paraId="448DCB8E" w14:textId="0EFD5489" w:rsidR="000F0DCB" w:rsidRPr="00DE3226" w:rsidRDefault="001506F0" w:rsidP="00C855B8">
      <w:pPr>
        <w:pStyle w:val="ListParagraph"/>
        <w:numPr>
          <w:ilvl w:val="0"/>
          <w:numId w:val="4"/>
        </w:numPr>
        <w:rPr>
          <w:rFonts w:ascii="Times New Roman" w:hAnsi="Times New Roman" w:cs="Times New Roman"/>
          <w:b/>
          <w:bCs/>
        </w:rPr>
      </w:pPr>
      <w:r w:rsidRPr="00DE3226">
        <w:rPr>
          <w:rFonts w:ascii="Times New Roman" w:hAnsi="Times New Roman" w:cs="Times New Roman"/>
          <w:b/>
          <w:bCs/>
        </w:rPr>
        <w:t>Description of the Program</w:t>
      </w:r>
    </w:p>
    <w:p w14:paraId="0EC6DB09" w14:textId="77777777" w:rsidR="001506F0" w:rsidRPr="00DE3226" w:rsidRDefault="001506F0" w:rsidP="001506F0"/>
    <w:p w14:paraId="7DCD9094" w14:textId="77777777" w:rsidR="00EF0269" w:rsidRPr="00DE3226" w:rsidRDefault="00EF0269" w:rsidP="00F42ED0">
      <w:pPr>
        <w:ind w:firstLine="708"/>
        <w:rPr>
          <w:b/>
          <w:bCs/>
        </w:rPr>
      </w:pPr>
      <w:r w:rsidRPr="00DE3226">
        <w:rPr>
          <w:b/>
          <w:bCs/>
        </w:rPr>
        <w:t>Relationship of Program to University Mission and College/Dept. Goals</w:t>
      </w:r>
    </w:p>
    <w:p w14:paraId="52307354" w14:textId="77777777" w:rsidR="00EF0269" w:rsidRPr="00DE3226" w:rsidRDefault="00EF0269" w:rsidP="001506F0"/>
    <w:p w14:paraId="51FB25CE" w14:textId="28BAAFCD" w:rsidR="000F67EA" w:rsidRPr="00DE3226" w:rsidRDefault="000F67EA" w:rsidP="00F42ED0">
      <w:pPr>
        <w:rPr>
          <w:rStyle w:val="PageNumber"/>
        </w:rPr>
      </w:pPr>
      <w:r w:rsidRPr="00DE3226">
        <w:rPr>
          <w:rStyle w:val="PageNumber"/>
        </w:rPr>
        <w:t>Here is the University’s Mission statement:</w:t>
      </w:r>
    </w:p>
    <w:p w14:paraId="5BD3B844" w14:textId="45CA210A" w:rsidR="000F67EA" w:rsidRPr="00DE3226" w:rsidRDefault="000F67EA" w:rsidP="00F42ED0">
      <w:pPr>
        <w:rPr>
          <w:rStyle w:val="PageNumber"/>
        </w:rPr>
      </w:pPr>
    </w:p>
    <w:p w14:paraId="14069F65" w14:textId="7C68258E" w:rsidR="000F67EA" w:rsidRPr="00DE3226" w:rsidRDefault="000F67EA" w:rsidP="00174A35">
      <w:pPr>
        <w:ind w:left="708"/>
      </w:pPr>
      <w:r w:rsidRPr="00DE3226">
        <w:t>The University of Scranton is a Catholic and Jesuit university animated by the spiritual vision and the tradition of excellence characteristic of the Society of Jesus and those who share its way of proceeding.</w:t>
      </w:r>
      <w:r w:rsidR="00487FC9">
        <w:t xml:space="preserve"> </w:t>
      </w:r>
      <w:r w:rsidRPr="00DE3226">
        <w:t>The University is a community dedicated to the freedom of inquiry and personal development fundamental to the growth in wisdom and integrity of all who share its life.</w:t>
      </w:r>
    </w:p>
    <w:p w14:paraId="76625306" w14:textId="77777777" w:rsidR="000F67EA" w:rsidRPr="00DE3226" w:rsidRDefault="000F67EA" w:rsidP="00F42ED0">
      <w:pPr>
        <w:rPr>
          <w:rStyle w:val="PageNumber"/>
        </w:rPr>
      </w:pPr>
    </w:p>
    <w:p w14:paraId="11C1759F" w14:textId="232DC31D" w:rsidR="000F67EA" w:rsidRPr="00DE3226" w:rsidRDefault="000F67EA" w:rsidP="00F42ED0">
      <w:pPr>
        <w:rPr>
          <w:rStyle w:val="PageNumber"/>
        </w:rPr>
      </w:pPr>
      <w:r w:rsidRPr="00DE3226">
        <w:rPr>
          <w:rStyle w:val="PageNumber"/>
        </w:rPr>
        <w:t>Here is the College of Arts and Sciences Mission Statement:</w:t>
      </w:r>
    </w:p>
    <w:p w14:paraId="2DA2EF4D" w14:textId="5EC3268D" w:rsidR="000F67EA" w:rsidRPr="00DE3226" w:rsidRDefault="000F67EA" w:rsidP="00F42ED0">
      <w:pPr>
        <w:rPr>
          <w:rStyle w:val="PageNumber"/>
        </w:rPr>
      </w:pPr>
    </w:p>
    <w:p w14:paraId="51E4457B" w14:textId="148483F2" w:rsidR="000F67EA" w:rsidRDefault="000F67EA" w:rsidP="00174A35">
      <w:pPr>
        <w:ind w:left="708"/>
      </w:pPr>
      <w:r w:rsidRPr="00DE3226">
        <w:t xml:space="preserve">As a liberal arts college within a Catholic and Jesuit University, The College of Arts and Sciences at The University of Scranton offers a wide range of academic programs based upon an understanding of transformational education as a means to academic excellence, personal and spiritual fulfillment, and thoughtful service to the human community. The College is a community of learners dedicated to providing a </w:t>
      </w:r>
      <w:r w:rsidRPr="00DE3226">
        <w:lastRenderedPageBreak/>
        <w:t>liberal arts education for all of the University's students, to the pursuit of wisdom and the dissemination of knowledge, and to addressing the critical problems of the world.</w:t>
      </w:r>
    </w:p>
    <w:p w14:paraId="3AC69284" w14:textId="77777777" w:rsidR="00487FC9" w:rsidRPr="00DE3226" w:rsidRDefault="00487FC9" w:rsidP="00174A35">
      <w:pPr>
        <w:ind w:left="708"/>
      </w:pPr>
    </w:p>
    <w:p w14:paraId="4D841A42" w14:textId="76887102" w:rsidR="004D2DF8" w:rsidRPr="00DE3226" w:rsidRDefault="004D2DF8" w:rsidP="00F42ED0">
      <w:pPr>
        <w:rPr>
          <w:rStyle w:val="PageNumber"/>
        </w:rPr>
      </w:pPr>
      <w:r w:rsidRPr="00DE3226">
        <w:rPr>
          <w:rStyle w:val="PageNumber"/>
        </w:rPr>
        <w:t xml:space="preserve">In what follows, we will provide the logic behind the proposed concentration while offering evidence that it </w:t>
      </w:r>
      <w:r w:rsidR="00D5087D">
        <w:rPr>
          <w:rStyle w:val="PageNumber"/>
        </w:rPr>
        <w:t>aligns with</w:t>
      </w:r>
      <w:r w:rsidRPr="00DE3226">
        <w:rPr>
          <w:rStyle w:val="PageNumber"/>
        </w:rPr>
        <w:t xml:space="preserve"> the mission and identity of the University.</w:t>
      </w:r>
    </w:p>
    <w:p w14:paraId="1F94B200" w14:textId="77777777" w:rsidR="004D2DF8" w:rsidRPr="00DE3226" w:rsidRDefault="004D2DF8" w:rsidP="00F42ED0">
      <w:pPr>
        <w:rPr>
          <w:rStyle w:val="PageNumber"/>
        </w:rPr>
      </w:pPr>
    </w:p>
    <w:p w14:paraId="53E3AFFD" w14:textId="0048BA56" w:rsidR="00D84C99" w:rsidRPr="00DE3226" w:rsidRDefault="000F67EA" w:rsidP="00F42ED0">
      <w:pPr>
        <w:rPr>
          <w:rStyle w:val="PageNumber"/>
        </w:rPr>
      </w:pPr>
      <w:r w:rsidRPr="00DE3226">
        <w:rPr>
          <w:rStyle w:val="PageNumber"/>
        </w:rPr>
        <w:t>Since the educational tradition of the Jesuits accents growth and transformation of the person in society, we believe this concentration hones a spirituality of seeking God in all things</w:t>
      </w:r>
      <w:r w:rsidR="00D5087D">
        <w:rPr>
          <w:rStyle w:val="PageNumber"/>
        </w:rPr>
        <w:t>,</w:t>
      </w:r>
      <w:r w:rsidRPr="00DE3226">
        <w:rPr>
          <w:rStyle w:val="PageNumber"/>
        </w:rPr>
        <w:t xml:space="preserve"> as students dedicated to improving the health of our communities</w:t>
      </w:r>
      <w:r w:rsidR="00A912D2">
        <w:rPr>
          <w:rStyle w:val="PageNumber"/>
        </w:rPr>
        <w:t xml:space="preserve"> discern how best they can contribute to the common good</w:t>
      </w:r>
      <w:r w:rsidRPr="00DE3226">
        <w:rPr>
          <w:rStyle w:val="PageNumber"/>
        </w:rPr>
        <w:t xml:space="preserve">. </w:t>
      </w:r>
      <w:r w:rsidR="0035504F" w:rsidRPr="00DE3226">
        <w:rPr>
          <w:rStyle w:val="PageNumber"/>
        </w:rPr>
        <w:t xml:space="preserve">This concentration </w:t>
      </w:r>
      <w:r w:rsidR="00483637" w:rsidRPr="00DE3226">
        <w:rPr>
          <w:rStyle w:val="PageNumber"/>
        </w:rPr>
        <w:t>builds upon existing general education requirements</w:t>
      </w:r>
      <w:r w:rsidR="00D76AD9" w:rsidRPr="00DE3226">
        <w:rPr>
          <w:rStyle w:val="PageNumber"/>
        </w:rPr>
        <w:t>, further</w:t>
      </w:r>
      <w:r w:rsidR="00483637" w:rsidRPr="00DE3226">
        <w:rPr>
          <w:rStyle w:val="PageNumber"/>
        </w:rPr>
        <w:t xml:space="preserve"> strengthen</w:t>
      </w:r>
      <w:r w:rsidR="00D76AD9" w:rsidRPr="00DE3226">
        <w:rPr>
          <w:rStyle w:val="PageNumber"/>
        </w:rPr>
        <w:t>ing</w:t>
      </w:r>
      <w:r w:rsidR="00483637" w:rsidRPr="00DE3226">
        <w:rPr>
          <w:rStyle w:val="PageNumber"/>
        </w:rPr>
        <w:t xml:space="preserve"> </w:t>
      </w:r>
      <w:r w:rsidR="00F42ED0" w:rsidRPr="00DE3226">
        <w:rPr>
          <w:rStyle w:val="PageNumber"/>
        </w:rPr>
        <w:t xml:space="preserve">oral and written </w:t>
      </w:r>
      <w:r w:rsidR="00483637" w:rsidRPr="00DE3226">
        <w:rPr>
          <w:rStyle w:val="PageNumber"/>
        </w:rPr>
        <w:t>proficiency</w:t>
      </w:r>
      <w:r w:rsidR="006C24E3" w:rsidRPr="00DE3226">
        <w:rPr>
          <w:rStyle w:val="PageNumber"/>
        </w:rPr>
        <w:t xml:space="preserve"> to enhance </w:t>
      </w:r>
      <w:r w:rsidR="00483637" w:rsidRPr="00DE3226">
        <w:rPr>
          <w:rStyle w:val="PageNumber"/>
        </w:rPr>
        <w:t xml:space="preserve">discernment </w:t>
      </w:r>
      <w:r w:rsidR="006C24E3" w:rsidRPr="00DE3226">
        <w:rPr>
          <w:rStyle w:val="PageNumber"/>
        </w:rPr>
        <w:t>practices</w:t>
      </w:r>
      <w:r w:rsidR="00C36859" w:rsidRPr="00DE3226">
        <w:rPr>
          <w:rStyle w:val="PageNumber"/>
        </w:rPr>
        <w:t>.</w:t>
      </w:r>
      <w:r w:rsidR="00885778" w:rsidRPr="00DE3226">
        <w:rPr>
          <w:rStyle w:val="FootnoteReference"/>
        </w:rPr>
        <w:footnoteReference w:id="6"/>
      </w:r>
      <w:r w:rsidR="00487FC9">
        <w:rPr>
          <w:rStyle w:val="PageNumber"/>
        </w:rPr>
        <w:t xml:space="preserve"> </w:t>
      </w:r>
      <w:r w:rsidR="0013259B" w:rsidRPr="00DE3226">
        <w:rPr>
          <w:rStyle w:val="PageNumber"/>
        </w:rPr>
        <w:t>Students</w:t>
      </w:r>
      <w:r w:rsidR="00F42ED0" w:rsidRPr="00DE3226">
        <w:rPr>
          <w:rStyle w:val="PageNumber"/>
        </w:rPr>
        <w:t xml:space="preserve"> apply </w:t>
      </w:r>
      <w:r w:rsidR="0013259B" w:rsidRPr="00DE3226">
        <w:rPr>
          <w:rStyle w:val="PageNumber"/>
        </w:rPr>
        <w:t xml:space="preserve">those discernment practices </w:t>
      </w:r>
      <w:r w:rsidR="00F42ED0" w:rsidRPr="00DE3226">
        <w:rPr>
          <w:rStyle w:val="PageNumber"/>
        </w:rPr>
        <w:t>to foster cultural sensitivity</w:t>
      </w:r>
      <w:r w:rsidR="005D69CB" w:rsidRPr="00DE3226">
        <w:rPr>
          <w:rStyle w:val="PageNumber"/>
        </w:rPr>
        <w:t xml:space="preserve"> </w:t>
      </w:r>
      <w:r w:rsidR="00F42ED0" w:rsidRPr="00DE3226">
        <w:rPr>
          <w:rStyle w:val="PageNumber"/>
        </w:rPr>
        <w:t>through</w:t>
      </w:r>
      <w:r w:rsidR="005D69CB" w:rsidRPr="00DE3226">
        <w:rPr>
          <w:rStyle w:val="PageNumber"/>
        </w:rPr>
        <w:t xml:space="preserve"> the following</w:t>
      </w:r>
      <w:r w:rsidR="00F42ED0" w:rsidRPr="00DE3226">
        <w:rPr>
          <w:rStyle w:val="PageNumber"/>
        </w:rPr>
        <w:t xml:space="preserve"> humanistic approaches in the classroom</w:t>
      </w:r>
      <w:r w:rsidR="001506F0" w:rsidRPr="00DE3226">
        <w:rPr>
          <w:rStyle w:val="PageNumber"/>
        </w:rPr>
        <w:t>: interpret</w:t>
      </w:r>
      <w:r w:rsidR="00174A35" w:rsidRPr="00DE3226">
        <w:rPr>
          <w:rStyle w:val="PageNumber"/>
        </w:rPr>
        <w:t>ing</w:t>
      </w:r>
      <w:r w:rsidR="001506F0" w:rsidRPr="00DE3226">
        <w:rPr>
          <w:rStyle w:val="PageNumber"/>
        </w:rPr>
        <w:t xml:space="preserve"> medical perspectives and caring practices by examining them through the lenses of specific historical, faith-related, and cultural conceptualizations of medicine and healing; recogniz</w:t>
      </w:r>
      <w:r w:rsidR="00174A35" w:rsidRPr="00DE3226">
        <w:rPr>
          <w:rStyle w:val="PageNumber"/>
        </w:rPr>
        <w:t>ing</w:t>
      </w:r>
      <w:r w:rsidR="001506F0" w:rsidRPr="00DE3226">
        <w:rPr>
          <w:rStyle w:val="PageNumber"/>
        </w:rPr>
        <w:t xml:space="preserve"> representations of the human experience in interpreting characters of literary and filmic texts; interrogat</w:t>
      </w:r>
      <w:r w:rsidR="00174A35" w:rsidRPr="00DE3226">
        <w:rPr>
          <w:rStyle w:val="PageNumber"/>
        </w:rPr>
        <w:t>ing</w:t>
      </w:r>
      <w:r w:rsidR="001506F0" w:rsidRPr="00DE3226">
        <w:rPr>
          <w:rStyle w:val="PageNumber"/>
        </w:rPr>
        <w:t xml:space="preserve"> the dichotomous separation of the biological and cultural factors that contribute to health, illness, injury, and disability; understand</w:t>
      </w:r>
      <w:r w:rsidR="00174A35" w:rsidRPr="00DE3226">
        <w:rPr>
          <w:rStyle w:val="PageNumber"/>
        </w:rPr>
        <w:t>ing</w:t>
      </w:r>
      <w:r w:rsidR="001506F0" w:rsidRPr="00DE3226">
        <w:rPr>
          <w:rStyle w:val="PageNumber"/>
        </w:rPr>
        <w:t xml:space="preserve"> the different and competing narratives that shape medical encounters; and develop</w:t>
      </w:r>
      <w:r w:rsidR="00174A35" w:rsidRPr="00DE3226">
        <w:rPr>
          <w:rStyle w:val="PageNumber"/>
        </w:rPr>
        <w:t>ing</w:t>
      </w:r>
      <w:r w:rsidR="001506F0" w:rsidRPr="00DE3226">
        <w:rPr>
          <w:rStyle w:val="PageNumber"/>
        </w:rPr>
        <w:t xml:space="preserve"> critical ethical perspectives to examine the relationships between caregiver and patient, and between patient and i</w:t>
      </w:r>
      <w:r w:rsidR="00F42ED0" w:rsidRPr="00DE3226">
        <w:rPr>
          <w:rStyle w:val="PageNumber"/>
        </w:rPr>
        <w:t>llness, injury, or disability.</w:t>
      </w:r>
      <w:r w:rsidR="00C36859" w:rsidRPr="00DE3226">
        <w:rPr>
          <w:rStyle w:val="FootnoteReference"/>
        </w:rPr>
        <w:footnoteReference w:id="7"/>
      </w:r>
      <w:r w:rsidR="00F42ED0" w:rsidRPr="00DE3226">
        <w:rPr>
          <w:rStyle w:val="PageNumber"/>
        </w:rPr>
        <w:t xml:space="preserve"> </w:t>
      </w:r>
    </w:p>
    <w:p w14:paraId="3DEE8234" w14:textId="77777777" w:rsidR="00F42ED0" w:rsidRPr="00DE3226" w:rsidRDefault="00F42ED0" w:rsidP="00F42ED0">
      <w:pPr>
        <w:rPr>
          <w:rStyle w:val="PageNumber"/>
        </w:rPr>
      </w:pPr>
    </w:p>
    <w:p w14:paraId="60E35E8A" w14:textId="48C11116" w:rsidR="001506F0" w:rsidRPr="00DE3226" w:rsidRDefault="001506F0" w:rsidP="001506F0">
      <w:pPr>
        <w:pStyle w:val="BodyA"/>
        <w:suppressAutoHyphens/>
        <w:rPr>
          <w:rStyle w:val="PageNumber"/>
          <w:rFonts w:ascii="Times New Roman" w:hAnsi="Times New Roman" w:cs="Times New Roman"/>
        </w:rPr>
      </w:pPr>
      <w:r w:rsidRPr="00DE3226">
        <w:rPr>
          <w:rStyle w:val="PageNumber"/>
          <w:rFonts w:ascii="Times New Roman" w:hAnsi="Times New Roman" w:cs="Times New Roman"/>
        </w:rPr>
        <w:t>The University of Scranton’s</w:t>
      </w:r>
      <w:r w:rsidR="004F54BA">
        <w:rPr>
          <w:rStyle w:val="PageNumber"/>
          <w:rFonts w:ascii="Times New Roman" w:hAnsi="Times New Roman" w:cs="Times New Roman"/>
        </w:rPr>
        <w:t xml:space="preserve"> proposed</w:t>
      </w:r>
      <w:r w:rsidRPr="00DE3226">
        <w:rPr>
          <w:rStyle w:val="PageNumber"/>
          <w:rFonts w:ascii="Times New Roman" w:hAnsi="Times New Roman" w:cs="Times New Roman"/>
        </w:rPr>
        <w:t xml:space="preserve"> HH concentration</w:t>
      </w:r>
      <w:r w:rsidR="00C36859" w:rsidRPr="00DE3226">
        <w:rPr>
          <w:rStyle w:val="PageNumber"/>
          <w:rFonts w:ascii="Times New Roman" w:hAnsi="Times New Roman" w:cs="Times New Roman"/>
        </w:rPr>
        <w:t xml:space="preserve"> </w:t>
      </w:r>
      <w:r w:rsidRPr="00DE3226">
        <w:rPr>
          <w:rStyle w:val="PageNumber"/>
          <w:rFonts w:ascii="Times New Roman" w:hAnsi="Times New Roman" w:cs="Times New Roman"/>
        </w:rPr>
        <w:t>place</w:t>
      </w:r>
      <w:r w:rsidR="00C36859" w:rsidRPr="00DE3226">
        <w:rPr>
          <w:rStyle w:val="PageNumber"/>
          <w:rFonts w:ascii="Times New Roman" w:hAnsi="Times New Roman" w:cs="Times New Roman"/>
        </w:rPr>
        <w:t>s</w:t>
      </w:r>
      <w:r w:rsidRPr="00DE3226">
        <w:rPr>
          <w:rStyle w:val="PageNumber"/>
          <w:rFonts w:ascii="Times New Roman" w:hAnsi="Times New Roman" w:cs="Times New Roman"/>
        </w:rPr>
        <w:t xml:space="preserve"> a special emphasis on the role of intercultural and diversity competence in healthcare settings and medical encounters. Dimensions of diversity include sex, race, age, national origin, ethnicity, gender identity and expression, intellectual and physical ability, sexual orientation, faith and non-faith perspectives, income and socioeconomic class, political ideology, education, primary language, family status, military experience, cognitive style, and communication style. The proposed HH concentration therefore emphasizes the extent to which healthcare practitioners and providers must value the intersection of these experiences and characteristics in the individual in order to offer the holistic care representative of The University of Scranton’s commitment to </w:t>
      </w:r>
      <w:proofErr w:type="spellStart"/>
      <w:r w:rsidRPr="00DE3226">
        <w:rPr>
          <w:rStyle w:val="PageNumber"/>
          <w:rFonts w:ascii="Times New Roman" w:hAnsi="Times New Roman" w:cs="Times New Roman"/>
          <w:i/>
          <w:iCs/>
        </w:rPr>
        <w:t>cura</w:t>
      </w:r>
      <w:proofErr w:type="spellEnd"/>
      <w:r w:rsidRPr="00DE3226">
        <w:rPr>
          <w:rStyle w:val="PageNumber"/>
          <w:rFonts w:ascii="Times New Roman" w:hAnsi="Times New Roman" w:cs="Times New Roman"/>
          <w:i/>
          <w:iCs/>
        </w:rPr>
        <w:t xml:space="preserve"> </w:t>
      </w:r>
      <w:proofErr w:type="spellStart"/>
      <w:r w:rsidRPr="00DE3226">
        <w:rPr>
          <w:rStyle w:val="PageNumber"/>
          <w:rFonts w:ascii="Times New Roman" w:hAnsi="Times New Roman" w:cs="Times New Roman"/>
          <w:i/>
          <w:iCs/>
        </w:rPr>
        <w:t>personalis</w:t>
      </w:r>
      <w:proofErr w:type="spellEnd"/>
      <w:r w:rsidRPr="00DE3226">
        <w:rPr>
          <w:rStyle w:val="PageNumber"/>
          <w:rFonts w:ascii="Times New Roman" w:hAnsi="Times New Roman" w:cs="Times New Roman"/>
        </w:rPr>
        <w:t>, one of the chief characteristics of Jesuit education, which recognizes the dignity of each individual in caring for the whole person.</w:t>
      </w:r>
    </w:p>
    <w:p w14:paraId="2625148B" w14:textId="7791E213" w:rsidR="004D2DF8" w:rsidRPr="00DE3226" w:rsidRDefault="004D2DF8" w:rsidP="001506F0">
      <w:pPr>
        <w:pStyle w:val="BodyA"/>
        <w:suppressAutoHyphens/>
        <w:rPr>
          <w:rStyle w:val="PageNumber"/>
          <w:rFonts w:ascii="Times New Roman" w:hAnsi="Times New Roman" w:cs="Times New Roman"/>
        </w:rPr>
      </w:pPr>
    </w:p>
    <w:p w14:paraId="223C289E" w14:textId="42DF8591" w:rsidR="00A912D2" w:rsidRDefault="00A912D2" w:rsidP="004D2DF8">
      <w:pPr>
        <w:pStyle w:val="BodyA"/>
        <w:suppressAutoHyphens/>
        <w:rPr>
          <w:rStyle w:val="PageNumber"/>
          <w:rFonts w:ascii="Times New Roman" w:hAnsi="Times New Roman" w:cs="Times New Roman"/>
        </w:rPr>
      </w:pPr>
      <w:r>
        <w:rPr>
          <w:rStyle w:val="PageNumber"/>
          <w:rFonts w:ascii="Times New Roman" w:hAnsi="Times New Roman" w:cs="Times New Roman"/>
        </w:rPr>
        <w:t>As noted above, t</w:t>
      </w:r>
      <w:r w:rsidR="004D2DF8" w:rsidRPr="00DE3226">
        <w:rPr>
          <w:rStyle w:val="PageNumber"/>
          <w:rFonts w:ascii="Times New Roman" w:hAnsi="Times New Roman" w:cs="Times New Roman"/>
        </w:rPr>
        <w:t>he vision for the program aligns well with the Universal Apostolic Preferences of the Society of Jesus, 2019-2029. The Jesuits chose four key markers to guide the implementation of these Preferences in all their work, including education.</w:t>
      </w:r>
      <w:r w:rsidR="00487FC9">
        <w:rPr>
          <w:rStyle w:val="PageNumber"/>
          <w:rFonts w:ascii="Times New Roman" w:hAnsi="Times New Roman" w:cs="Times New Roman"/>
        </w:rPr>
        <w:t xml:space="preserve"> </w:t>
      </w:r>
      <w:r w:rsidR="004D2DF8" w:rsidRPr="00DE3226">
        <w:rPr>
          <w:rStyle w:val="PageNumber"/>
          <w:rFonts w:ascii="Times New Roman" w:hAnsi="Times New Roman" w:cs="Times New Roman"/>
        </w:rPr>
        <w:t xml:space="preserve">One of the four is to “walk with the poor, the outcasts of the world, those whose dignity has been violated, in a mission of reconciliation and justice.” Health </w:t>
      </w:r>
      <w:r w:rsidR="00D5087D">
        <w:rPr>
          <w:rStyle w:val="PageNumber"/>
          <w:rFonts w:ascii="Times New Roman" w:hAnsi="Times New Roman" w:cs="Times New Roman"/>
        </w:rPr>
        <w:t>h</w:t>
      </w:r>
      <w:r w:rsidR="004D2DF8" w:rsidRPr="00DE3226">
        <w:rPr>
          <w:rStyle w:val="PageNumber"/>
          <w:rFonts w:ascii="Times New Roman" w:hAnsi="Times New Roman" w:cs="Times New Roman"/>
        </w:rPr>
        <w:t xml:space="preserve">umanities courses </w:t>
      </w:r>
      <w:r w:rsidR="004D2DF8" w:rsidRPr="00DE3226">
        <w:rPr>
          <w:rStyle w:val="PageNumber"/>
          <w:rFonts w:ascii="Times New Roman" w:hAnsi="Times New Roman" w:cs="Times New Roman"/>
        </w:rPr>
        <w:lastRenderedPageBreak/>
        <w:t xml:space="preserve">contextualize the mission of reconciliation and justice so that the changes called for by the Society of Jesus are founded in rigorous academic study attentive to the full range of factors at play in human flourishing. </w:t>
      </w:r>
      <w:r w:rsidR="004D2DF8" w:rsidRPr="00DE3226">
        <w:rPr>
          <w:rStyle w:val="PageNumber"/>
          <w:rFonts w:ascii="Times New Roman" w:hAnsi="Times New Roman"/>
        </w:rPr>
        <w:t>The HH concentration thus furthers The University of Scranton’s mission to serve the city’s increasingly diverse community and to promote justice, compassion, and integrity. Moreover, the concentration will respond to a pressing need for non-hegemonic, humanistic understandings of health, healthcare, and well-being in higher education and in medical practice.</w:t>
      </w:r>
    </w:p>
    <w:p w14:paraId="1D61FE8D" w14:textId="77777777" w:rsidR="00D345CB" w:rsidRDefault="00D345CB" w:rsidP="00D345CB">
      <w:pPr>
        <w:pStyle w:val="BodyA"/>
        <w:suppressAutoHyphens/>
        <w:rPr>
          <w:rStyle w:val="PageNumber"/>
          <w:rFonts w:ascii="Times New Roman" w:hAnsi="Times New Roman" w:cs="Times New Roman"/>
        </w:rPr>
      </w:pPr>
    </w:p>
    <w:p w14:paraId="0EB18880" w14:textId="2A48B5E5" w:rsidR="004D2DF8" w:rsidRPr="00DE3226" w:rsidRDefault="004D2DF8" w:rsidP="00D345CB">
      <w:pPr>
        <w:pStyle w:val="BodyA"/>
        <w:suppressAutoHyphens/>
        <w:rPr>
          <w:rStyle w:val="PageNumber"/>
          <w:rFonts w:ascii="Times New Roman" w:hAnsi="Times New Roman" w:cs="Times New Roman"/>
        </w:rPr>
      </w:pPr>
      <w:r w:rsidRPr="00DE3226">
        <w:rPr>
          <w:rStyle w:val="PageNumber"/>
          <w:rFonts w:ascii="Times New Roman" w:hAnsi="Times New Roman" w:cs="Times New Roman"/>
        </w:rPr>
        <w:t xml:space="preserve">Since students in this concentration receive the same General Education foundational courses as all other students, they are well-situated to understand how the Society of Jesus articulates this commitment to the poor and marginalized as a “necessary condition for becoming companions </w:t>
      </w:r>
      <w:r w:rsidR="00D5087D">
        <w:rPr>
          <w:rStyle w:val="PageNumber"/>
          <w:rFonts w:ascii="Times New Roman" w:hAnsi="Times New Roman" w:cs="Times New Roman"/>
        </w:rPr>
        <w:t>‘</w:t>
      </w:r>
      <w:r w:rsidRPr="00DE3226">
        <w:rPr>
          <w:rStyle w:val="PageNumber"/>
          <w:rFonts w:ascii="Times New Roman" w:hAnsi="Times New Roman" w:cs="Times New Roman"/>
        </w:rPr>
        <w:t>on the way</w:t>
      </w:r>
      <w:r w:rsidR="00D5087D">
        <w:rPr>
          <w:rStyle w:val="PageNumber"/>
          <w:rFonts w:ascii="Times New Roman" w:hAnsi="Times New Roman" w:cs="Times New Roman"/>
        </w:rPr>
        <w:t>’</w:t>
      </w:r>
      <w:r w:rsidRPr="00DE3226">
        <w:rPr>
          <w:rStyle w:val="PageNumber"/>
          <w:rFonts w:ascii="Times New Roman" w:hAnsi="Times New Roman" w:cs="Times New Roman"/>
        </w:rPr>
        <w:t xml:space="preserve"> in the style of Jesus.”</w:t>
      </w:r>
      <w:r w:rsidRPr="00DE3226">
        <w:rPr>
          <w:rStyle w:val="FootnoteReference"/>
          <w:rFonts w:ascii="Times New Roman" w:hAnsi="Times New Roman" w:cs="Times New Roman"/>
        </w:rPr>
        <w:footnoteReference w:id="8"/>
      </w:r>
      <w:r w:rsidR="00487FC9">
        <w:rPr>
          <w:rStyle w:val="PageNumber"/>
          <w:rFonts w:ascii="Times New Roman" w:hAnsi="Times New Roman" w:cs="Times New Roman"/>
        </w:rPr>
        <w:t xml:space="preserve"> </w:t>
      </w:r>
      <w:r w:rsidRPr="00DE3226">
        <w:rPr>
          <w:rStyle w:val="PageNumber"/>
          <w:rFonts w:ascii="Times New Roman" w:hAnsi="Times New Roman" w:cs="Times New Roman"/>
        </w:rPr>
        <w:t>The poor and marginalized around the world lack access to the goods and services owned and operated by the powerful.</w:t>
      </w:r>
      <w:r w:rsidR="00487FC9">
        <w:rPr>
          <w:rStyle w:val="PageNumber"/>
          <w:rFonts w:ascii="Times New Roman" w:hAnsi="Times New Roman" w:cs="Times New Roman"/>
        </w:rPr>
        <w:t xml:space="preserve"> </w:t>
      </w:r>
      <w:r w:rsidRPr="00DE3226">
        <w:rPr>
          <w:rStyle w:val="PageNumber"/>
          <w:rFonts w:ascii="Times New Roman" w:hAnsi="Times New Roman" w:cs="Times New Roman"/>
        </w:rPr>
        <w:t>To study the humanities in the context of health in a Catholic and Jesuit educational tradition is to widen the circles of access and belonging so that inclusion in the benefits of contemporary well-being extend to all.</w:t>
      </w:r>
    </w:p>
    <w:p w14:paraId="6C0EEC47" w14:textId="77777777" w:rsidR="00D345CB" w:rsidRDefault="00D345CB" w:rsidP="00D345CB">
      <w:pPr>
        <w:pStyle w:val="BodyA"/>
        <w:suppressAutoHyphens/>
        <w:rPr>
          <w:rStyle w:val="PageNumber"/>
          <w:rFonts w:ascii="Times New Roman" w:hAnsi="Times New Roman" w:cs="Times New Roman"/>
        </w:rPr>
      </w:pPr>
    </w:p>
    <w:p w14:paraId="671BD965" w14:textId="1AF02E35" w:rsidR="004D2DF8" w:rsidRPr="00DE3226" w:rsidRDefault="00A912D2" w:rsidP="00D345CB">
      <w:pPr>
        <w:pStyle w:val="BodyA"/>
        <w:suppressAutoHyphens/>
        <w:rPr>
          <w:rFonts w:ascii="Times New Roman" w:hAnsi="Times New Roman" w:cs="Times New Roman"/>
        </w:rPr>
      </w:pPr>
      <w:r>
        <w:rPr>
          <w:rStyle w:val="PageNumber"/>
          <w:rFonts w:ascii="Times New Roman" w:hAnsi="Times New Roman" w:cs="Times New Roman"/>
        </w:rPr>
        <w:t xml:space="preserve">Additionally, </w:t>
      </w:r>
      <w:r w:rsidR="004D2DF8" w:rsidRPr="00DE3226">
        <w:rPr>
          <w:rStyle w:val="PageNumber"/>
          <w:rFonts w:ascii="Times New Roman" w:hAnsi="Times New Roman" w:cs="Times New Roman"/>
        </w:rPr>
        <w:t xml:space="preserve">Catholic Social Teaching documents, such as </w:t>
      </w:r>
      <w:r w:rsidR="004D2DF8" w:rsidRPr="00DE3226">
        <w:rPr>
          <w:rStyle w:val="PageNumber"/>
          <w:rFonts w:ascii="Times New Roman" w:hAnsi="Times New Roman" w:cs="Times New Roman"/>
          <w:i/>
          <w:iCs/>
        </w:rPr>
        <w:t>So</w:t>
      </w:r>
      <w:r>
        <w:rPr>
          <w:rStyle w:val="PageNumber"/>
          <w:rFonts w:ascii="Times New Roman" w:hAnsi="Times New Roman" w:cs="Times New Roman"/>
          <w:i/>
          <w:iCs/>
        </w:rPr>
        <w:t>l</w:t>
      </w:r>
      <w:r w:rsidR="004D2DF8" w:rsidRPr="00DE3226">
        <w:rPr>
          <w:rStyle w:val="PageNumber"/>
          <w:rFonts w:ascii="Times New Roman" w:hAnsi="Times New Roman" w:cs="Times New Roman"/>
          <w:i/>
          <w:iCs/>
        </w:rPr>
        <w:t xml:space="preserve">licitudo Rei </w:t>
      </w:r>
      <w:proofErr w:type="spellStart"/>
      <w:r w:rsidR="004D2DF8" w:rsidRPr="00DE3226">
        <w:rPr>
          <w:rStyle w:val="PageNumber"/>
          <w:rFonts w:ascii="Times New Roman" w:hAnsi="Times New Roman" w:cs="Times New Roman"/>
          <w:i/>
          <w:iCs/>
        </w:rPr>
        <w:t>Socialis</w:t>
      </w:r>
      <w:proofErr w:type="spellEnd"/>
      <w:r w:rsidR="004D2DF8" w:rsidRPr="00DE3226">
        <w:rPr>
          <w:rStyle w:val="PageNumber"/>
          <w:rFonts w:ascii="Times New Roman" w:hAnsi="Times New Roman" w:cs="Times New Roman"/>
        </w:rPr>
        <w:t xml:space="preserve"> (1987), apply the notion of solidarity precisely in this way</w:t>
      </w:r>
      <w:r w:rsidR="00A41FC4">
        <w:rPr>
          <w:rStyle w:val="PageNumber"/>
          <w:rFonts w:ascii="Times New Roman" w:hAnsi="Times New Roman" w:cs="Times New Roman"/>
        </w:rPr>
        <w:t>:</w:t>
      </w:r>
      <w:r w:rsidR="004D2DF8" w:rsidRPr="00DE3226">
        <w:rPr>
          <w:rStyle w:val="PageNumber"/>
          <w:rFonts w:ascii="Times New Roman" w:hAnsi="Times New Roman" w:cs="Times New Roman"/>
        </w:rPr>
        <w:t xml:space="preserve"> our interdependence demands a new form of responsibility in the form of “</w:t>
      </w:r>
      <w:r w:rsidR="004D2DF8" w:rsidRPr="00DE3226">
        <w:rPr>
          <w:rFonts w:ascii="Times New Roman" w:hAnsi="Times New Roman" w:cs="Times New Roman"/>
        </w:rPr>
        <w:t>a firm and persevering determination to commit oneself to the common good; that is to say to the good of all and of each individual, because we are all really responsible for all.”</w:t>
      </w:r>
      <w:r w:rsidR="004D2DF8" w:rsidRPr="00DE3226">
        <w:rPr>
          <w:rStyle w:val="FootnoteReference"/>
          <w:rFonts w:ascii="Times New Roman" w:hAnsi="Times New Roman" w:cs="Times New Roman"/>
        </w:rPr>
        <w:footnoteReference w:id="9"/>
      </w:r>
      <w:r w:rsidR="004D2DF8" w:rsidRPr="00DE3226">
        <w:rPr>
          <w:rFonts w:ascii="Times New Roman" w:hAnsi="Times New Roman" w:cs="Times New Roman"/>
        </w:rPr>
        <w:t xml:space="preserve"> Students already committed to the common good</w:t>
      </w:r>
      <w:r>
        <w:rPr>
          <w:rFonts w:ascii="Times New Roman" w:hAnsi="Times New Roman" w:cs="Times New Roman"/>
        </w:rPr>
        <w:t>,</w:t>
      </w:r>
      <w:r w:rsidR="004D2DF8" w:rsidRPr="00DE3226">
        <w:rPr>
          <w:rFonts w:ascii="Times New Roman" w:hAnsi="Times New Roman" w:cs="Times New Roman"/>
        </w:rPr>
        <w:t xml:space="preserve"> in their pursuit of professions noted for their public service</w:t>
      </w:r>
      <w:r>
        <w:rPr>
          <w:rFonts w:ascii="Times New Roman" w:hAnsi="Times New Roman" w:cs="Times New Roman"/>
        </w:rPr>
        <w:t>,</w:t>
      </w:r>
      <w:r w:rsidR="004D2DF8" w:rsidRPr="00DE3226">
        <w:rPr>
          <w:rFonts w:ascii="Times New Roman" w:hAnsi="Times New Roman" w:cs="Times New Roman"/>
        </w:rPr>
        <w:t xml:space="preserve"> are thus afforded the opportunity to focus their attention in this concentration on these key markers of Catholic and Jesuit education, including </w:t>
      </w:r>
      <w:r w:rsidR="00650794">
        <w:rPr>
          <w:rFonts w:ascii="Times New Roman" w:hAnsi="Times New Roman" w:cs="Times New Roman"/>
        </w:rPr>
        <w:t>the call</w:t>
      </w:r>
      <w:r w:rsidR="004D2DF8" w:rsidRPr="00DE3226">
        <w:rPr>
          <w:rFonts w:ascii="Times New Roman" w:hAnsi="Times New Roman" w:cs="Times New Roman"/>
        </w:rPr>
        <w:t xml:space="preserve"> to care for refugees and migrants (a growing demographic in Scranton). </w:t>
      </w:r>
      <w:r w:rsidR="004D2DF8" w:rsidRPr="00DE3226">
        <w:rPr>
          <w:rStyle w:val="PageNumber"/>
          <w:rFonts w:ascii="Times New Roman" w:hAnsi="Times New Roman" w:cs="Times New Roman"/>
        </w:rPr>
        <w:t>“</w:t>
      </w:r>
      <w:r w:rsidR="004D2DF8" w:rsidRPr="00DE3226">
        <w:rPr>
          <w:rFonts w:ascii="Times New Roman" w:hAnsi="Times New Roman" w:cs="Times New Roman"/>
        </w:rPr>
        <w:t>Every stranger who knocks at our door,” argues the Jesuit Pope Francis, “is an opportunity for an encounter with Jesus Christ, who identifies with the welcomed and rejected strangers of every age (</w:t>
      </w:r>
      <w:r w:rsidR="004D2DF8" w:rsidRPr="00DE3226">
        <w:rPr>
          <w:rFonts w:ascii="Times New Roman" w:hAnsi="Times New Roman" w:cs="Times New Roman"/>
          <w:i/>
          <w:iCs/>
        </w:rPr>
        <w:t>Matthew</w:t>
      </w:r>
      <w:r w:rsidR="004D2DF8" w:rsidRPr="00DE3226">
        <w:rPr>
          <w:rFonts w:ascii="Times New Roman" w:hAnsi="Times New Roman" w:cs="Times New Roman"/>
        </w:rPr>
        <w:t> 25:35-43).”</w:t>
      </w:r>
      <w:r w:rsidR="004D2DF8" w:rsidRPr="00DE3226">
        <w:rPr>
          <w:rStyle w:val="FootnoteReference"/>
          <w:rFonts w:ascii="Times New Roman" w:hAnsi="Times New Roman" w:cs="Times New Roman"/>
        </w:rPr>
        <w:footnoteReference w:id="10"/>
      </w:r>
      <w:r w:rsidR="00487FC9">
        <w:rPr>
          <w:rFonts w:ascii="Times New Roman" w:hAnsi="Times New Roman" w:cs="Times New Roman"/>
        </w:rPr>
        <w:t xml:space="preserve"> </w:t>
      </w:r>
      <w:r w:rsidR="004D2DF8" w:rsidRPr="00DE3226">
        <w:rPr>
          <w:rFonts w:ascii="Times New Roman" w:hAnsi="Times New Roman" w:cs="Times New Roman"/>
        </w:rPr>
        <w:t>By way of further support for this mission of welcome at the core of Catholic teaching, the United States Conference of Catholic Bishops issued a document on racism in America that speaks directly to this need for us to listen to stories highlighting diversity and intercultural competence:</w:t>
      </w:r>
    </w:p>
    <w:p w14:paraId="326FEB28" w14:textId="77777777" w:rsidR="004D2DF8" w:rsidRPr="00DE3226" w:rsidRDefault="004D2DF8" w:rsidP="004D2DF8">
      <w:pPr>
        <w:pStyle w:val="BodyA"/>
        <w:suppressAutoHyphens/>
        <w:rPr>
          <w:rFonts w:ascii="Times New Roman" w:hAnsi="Times New Roman" w:cs="Times New Roman"/>
        </w:rPr>
      </w:pPr>
    </w:p>
    <w:p w14:paraId="0A9D33DA" w14:textId="445D9E84" w:rsidR="004D2DF8" w:rsidRPr="00DE3226" w:rsidRDefault="004D2DF8" w:rsidP="00174A35">
      <w:pPr>
        <w:ind w:left="708"/>
      </w:pPr>
      <w:r w:rsidRPr="00DE3226">
        <w:t xml:space="preserve">As Christians, we are called to listen and know the stories of our brothers and sisters. We must create opportunities to hear, with open hearts, the tragic stories that are deeply imprinted on the lives of our brothers and sisters, if we are to be moved with empathy to promote justice. Many groups, such as the Irish, Italians, Mexicans, Puerto Ricans, Poles, Jews, Chinese, and Japanese, can attest to having been the target of racial and ethnic prejudice in this country. It is also true that many groups are still experiencing prejudice, including rising anti-Semitism, the discrimination </w:t>
      </w:r>
      <w:r w:rsidRPr="00DE3226">
        <w:lastRenderedPageBreak/>
        <w:t>many Hispanics face today, and anti-Muslim sentiment. Especially instructive at this moment, however, are the historical and contemporary experiences of Native and African Americans.</w:t>
      </w:r>
      <w:r w:rsidRPr="00DE3226">
        <w:rPr>
          <w:rStyle w:val="FootnoteReference"/>
        </w:rPr>
        <w:footnoteReference w:id="11"/>
      </w:r>
    </w:p>
    <w:p w14:paraId="4BDAEF43" w14:textId="77777777" w:rsidR="004D2DF8" w:rsidRPr="00DE3226" w:rsidRDefault="004D2DF8" w:rsidP="004D2DF8">
      <w:pPr>
        <w:pStyle w:val="BodyA"/>
        <w:suppressAutoHyphens/>
        <w:rPr>
          <w:rFonts w:ascii="Times New Roman" w:hAnsi="Times New Roman" w:cs="Times New Roman"/>
        </w:rPr>
      </w:pPr>
    </w:p>
    <w:p w14:paraId="2919B89B" w14:textId="1D6871B5" w:rsidR="004D2DF8" w:rsidRPr="00DE3226" w:rsidRDefault="004D2DF8" w:rsidP="004D2DF8">
      <w:pPr>
        <w:pStyle w:val="BodyA"/>
        <w:suppressAutoHyphens/>
        <w:rPr>
          <w:rStyle w:val="PageNumber"/>
          <w:rFonts w:ascii="Times New Roman" w:eastAsia="Times New Roman" w:hAnsi="Times New Roman" w:cs="Times New Roman"/>
        </w:rPr>
      </w:pPr>
      <w:r w:rsidRPr="00DE3226">
        <w:rPr>
          <w:rStyle w:val="PageNumber"/>
          <w:rFonts w:ascii="Times New Roman" w:eastAsia="Times New Roman" w:hAnsi="Times New Roman" w:cs="Times New Roman"/>
        </w:rPr>
        <w:t>Catholic and Jesuit education presently requires this renewed attention to diversity so that solidarity may grow.</w:t>
      </w:r>
      <w:r w:rsidR="00487FC9">
        <w:rPr>
          <w:rStyle w:val="PageNumber"/>
          <w:rFonts w:ascii="Times New Roman" w:eastAsia="Times New Roman" w:hAnsi="Times New Roman" w:cs="Times New Roman"/>
        </w:rPr>
        <w:t xml:space="preserve"> </w:t>
      </w:r>
      <w:r w:rsidRPr="00DE3226">
        <w:rPr>
          <w:rStyle w:val="PageNumber"/>
          <w:rFonts w:ascii="Times New Roman" w:eastAsia="Times New Roman" w:hAnsi="Times New Roman" w:cs="Times New Roman"/>
        </w:rPr>
        <w:t>Growth in solidarity for our community, however, requires listening to the stories of pain and injustice endemic to our ways of life, including the many factors influencing health.</w:t>
      </w:r>
      <w:r w:rsidR="00487FC9">
        <w:rPr>
          <w:rStyle w:val="PageNumber"/>
          <w:rFonts w:ascii="Times New Roman" w:eastAsia="Times New Roman" w:hAnsi="Times New Roman" w:cs="Times New Roman"/>
        </w:rPr>
        <w:t xml:space="preserve"> </w:t>
      </w:r>
      <w:r w:rsidRPr="00DE3226">
        <w:rPr>
          <w:rStyle w:val="PageNumber"/>
          <w:rFonts w:ascii="Times New Roman" w:eastAsia="Times New Roman" w:hAnsi="Times New Roman" w:cs="Times New Roman"/>
        </w:rPr>
        <w:t>Indeed, if we are to take clinical practice as a litmus test for the importance of story and narrative, some say clinical knowledge itself has a “narrative character” to it.</w:t>
      </w:r>
      <w:r w:rsidR="00487FC9">
        <w:rPr>
          <w:rStyle w:val="PageNumber"/>
          <w:rFonts w:ascii="Times New Roman" w:eastAsia="Times New Roman" w:hAnsi="Times New Roman" w:cs="Times New Roman"/>
        </w:rPr>
        <w:t xml:space="preserve"> </w:t>
      </w:r>
      <w:r w:rsidRPr="00DE3226">
        <w:rPr>
          <w:rStyle w:val="PageNumber"/>
          <w:rFonts w:ascii="Times New Roman" w:eastAsia="Times New Roman" w:hAnsi="Times New Roman" w:cs="Times New Roman"/>
        </w:rPr>
        <w:t>When a patient’s history is taken, it is recast in a medical case narrative.</w:t>
      </w:r>
      <w:r w:rsidR="00487FC9">
        <w:rPr>
          <w:rStyle w:val="PageNumber"/>
          <w:rFonts w:ascii="Times New Roman" w:eastAsia="Times New Roman" w:hAnsi="Times New Roman" w:cs="Times New Roman"/>
        </w:rPr>
        <w:t xml:space="preserve"> </w:t>
      </w:r>
      <w:r w:rsidRPr="00DE3226">
        <w:rPr>
          <w:rStyle w:val="PageNumber"/>
          <w:rFonts w:ascii="Times New Roman" w:eastAsia="Times New Roman" w:hAnsi="Times New Roman" w:cs="Times New Roman"/>
        </w:rPr>
        <w:t>“At its richest and most skilled,” writes Kathryn Montgomery, “this act of narrative perception and construction requires the capacity to understand the patient and recast his or her story of illness into a medical narrative that can be matched with the diagnostic taxonomy and lead to appropriate treatment.”</w:t>
      </w:r>
      <w:r w:rsidRPr="00DE3226">
        <w:rPr>
          <w:rStyle w:val="FootnoteReference"/>
          <w:rFonts w:ascii="Times New Roman" w:eastAsia="Times New Roman" w:hAnsi="Times New Roman" w:cs="Times New Roman"/>
        </w:rPr>
        <w:footnoteReference w:id="12"/>
      </w:r>
      <w:r w:rsidR="00487FC9">
        <w:rPr>
          <w:rStyle w:val="PageNumber"/>
          <w:rFonts w:ascii="Times New Roman" w:eastAsia="Times New Roman" w:hAnsi="Times New Roman" w:cs="Times New Roman"/>
        </w:rPr>
        <w:t xml:space="preserve"> </w:t>
      </w:r>
      <w:r w:rsidRPr="00DE3226">
        <w:rPr>
          <w:rStyle w:val="PageNumber"/>
          <w:rFonts w:ascii="Times New Roman" w:eastAsia="Times New Roman" w:hAnsi="Times New Roman" w:cs="Times New Roman"/>
        </w:rPr>
        <w:t>By attending closely to the human stories of our communities, students will participate directly in the Jesuit mission of reconciliation and justice, and enhance their observational capacities</w:t>
      </w:r>
      <w:r w:rsidR="00A912D2">
        <w:rPr>
          <w:rStyle w:val="PageNumber"/>
          <w:rFonts w:ascii="Times New Roman" w:eastAsia="Times New Roman" w:hAnsi="Times New Roman" w:cs="Times New Roman"/>
        </w:rPr>
        <w:t xml:space="preserve"> deemed essential for health practitioners in particular</w:t>
      </w:r>
      <w:r w:rsidRPr="00DE3226">
        <w:rPr>
          <w:rStyle w:val="PageNumber"/>
          <w:rFonts w:ascii="Times New Roman" w:eastAsia="Times New Roman" w:hAnsi="Times New Roman" w:cs="Times New Roman"/>
        </w:rPr>
        <w:t>.</w:t>
      </w:r>
    </w:p>
    <w:p w14:paraId="63845BAD" w14:textId="77777777" w:rsidR="00D345CB" w:rsidRDefault="00D345CB" w:rsidP="00D345CB">
      <w:pPr>
        <w:pStyle w:val="BodyA"/>
        <w:suppressAutoHyphens/>
        <w:rPr>
          <w:rStyle w:val="PageNumber"/>
          <w:rFonts w:ascii="Times New Roman" w:hAnsi="Times New Roman" w:cs="Times New Roman"/>
        </w:rPr>
      </w:pPr>
    </w:p>
    <w:p w14:paraId="053A6E42" w14:textId="04E0F67B" w:rsidR="000F0DCB" w:rsidRPr="00DE3226" w:rsidRDefault="000F0DCB" w:rsidP="00D345CB">
      <w:pPr>
        <w:pStyle w:val="BodyA"/>
        <w:suppressAutoHyphens/>
        <w:rPr>
          <w:rStyle w:val="PageNumber"/>
          <w:rFonts w:ascii="Times New Roman" w:eastAsia="Times New Roman" w:hAnsi="Times New Roman" w:cs="Times New Roman"/>
        </w:rPr>
      </w:pPr>
      <w:r w:rsidRPr="00DE3226">
        <w:rPr>
          <w:rStyle w:val="PageNumber"/>
          <w:rFonts w:ascii="Times New Roman" w:eastAsia="Times New Roman" w:hAnsi="Times New Roman" w:cs="Times New Roman"/>
        </w:rPr>
        <w:t xml:space="preserve">Not only existing courses, but also </w:t>
      </w:r>
      <w:r w:rsidRPr="00DE3226">
        <w:rPr>
          <w:rStyle w:val="PageNumber"/>
          <w:rFonts w:ascii="Times New Roman" w:hAnsi="Times New Roman" w:cs="Times New Roman"/>
          <w:b/>
          <w:bCs/>
        </w:rPr>
        <w:t>numerous existing initiatives and projects at The University of Scranton align with the goals of the HH team</w:t>
      </w:r>
      <w:r w:rsidRPr="00DE3226">
        <w:rPr>
          <w:rStyle w:val="PageNumber"/>
          <w:rFonts w:ascii="Times New Roman" w:hAnsi="Times New Roman" w:cs="Times New Roman"/>
        </w:rPr>
        <w:t xml:space="preserve"> and will therefore foster and contribute to the proposed concentration. </w:t>
      </w:r>
      <w:r w:rsidR="00A912D2">
        <w:rPr>
          <w:rStyle w:val="PageNumber"/>
          <w:rFonts w:ascii="Times New Roman" w:hAnsi="Times New Roman" w:cs="Times New Roman"/>
        </w:rPr>
        <w:t>In its first stages, t</w:t>
      </w:r>
      <w:r w:rsidRPr="00DE3226">
        <w:rPr>
          <w:rStyle w:val="PageNumber"/>
          <w:rFonts w:ascii="Times New Roman" w:hAnsi="Times New Roman" w:cs="Times New Roman"/>
        </w:rPr>
        <w:t xml:space="preserve">he HH concentration will closely collaborate with the </w:t>
      </w:r>
      <w:r w:rsidRPr="00DE3226">
        <w:rPr>
          <w:rStyle w:val="PageNumber"/>
          <w:rFonts w:ascii="Times New Roman" w:hAnsi="Times New Roman" w:cs="Times New Roman"/>
          <w:b/>
          <w:bCs/>
        </w:rPr>
        <w:t>Office for Community-Based Learning</w:t>
      </w:r>
      <w:r w:rsidR="004D2DF8" w:rsidRPr="00DE3226">
        <w:rPr>
          <w:rStyle w:val="PageNumber"/>
          <w:rFonts w:ascii="Times New Roman" w:hAnsi="Times New Roman" w:cs="Times New Roman"/>
          <w:b/>
          <w:bCs/>
        </w:rPr>
        <w:t>, Center for Service and Social Justice</w:t>
      </w:r>
      <w:r w:rsidRPr="00DE3226">
        <w:rPr>
          <w:rStyle w:val="PageNumber"/>
          <w:rFonts w:ascii="Times New Roman" w:hAnsi="Times New Roman" w:cs="Times New Roman"/>
        </w:rPr>
        <w:t xml:space="preserve"> at The University of Scranton and the </w:t>
      </w:r>
      <w:r w:rsidRPr="00DE3226">
        <w:rPr>
          <w:rStyle w:val="PageNumber"/>
          <w:rFonts w:ascii="Times New Roman" w:hAnsi="Times New Roman" w:cs="Times New Roman"/>
          <w:b/>
          <w:bCs/>
        </w:rPr>
        <w:t>Leahy Community Health and Family Center</w:t>
      </w:r>
      <w:r w:rsidRPr="00DE3226">
        <w:rPr>
          <w:rStyle w:val="PageNumber"/>
          <w:rFonts w:ascii="Times New Roman" w:hAnsi="Times New Roman" w:cs="Times New Roman"/>
        </w:rPr>
        <w:t>.</w:t>
      </w:r>
      <w:r w:rsidR="00820353" w:rsidRPr="00DE3226">
        <w:rPr>
          <w:rStyle w:val="FootnoteReference"/>
          <w:rFonts w:ascii="Times New Roman" w:hAnsi="Times New Roman" w:cs="Times New Roman"/>
        </w:rPr>
        <w:footnoteReference w:id="13"/>
      </w:r>
      <w:r w:rsidR="00487FC9">
        <w:rPr>
          <w:rStyle w:val="PageNumber"/>
          <w:rFonts w:ascii="Times New Roman" w:hAnsi="Times New Roman" w:cs="Times New Roman"/>
        </w:rPr>
        <w:t xml:space="preserve"> </w:t>
      </w:r>
      <w:r w:rsidR="00181336">
        <w:rPr>
          <w:rStyle w:val="PageNumber"/>
          <w:rFonts w:ascii="Times New Roman" w:hAnsi="Times New Roman" w:cs="Times New Roman"/>
        </w:rPr>
        <w:t>(</w:t>
      </w:r>
      <w:r w:rsidR="00BF6420">
        <w:rPr>
          <w:rStyle w:val="PageNumber"/>
          <w:rFonts w:ascii="Times New Roman" w:hAnsi="Times New Roman" w:cs="Times New Roman"/>
        </w:rPr>
        <w:t xml:space="preserve">Included with this proposal </w:t>
      </w:r>
      <w:r w:rsidR="002410D9">
        <w:rPr>
          <w:rStyle w:val="PageNumber"/>
          <w:rFonts w:ascii="Times New Roman" w:hAnsi="Times New Roman" w:cs="Times New Roman"/>
        </w:rPr>
        <w:t>we also provide signatures from</w:t>
      </w:r>
      <w:r w:rsidR="00181336">
        <w:rPr>
          <w:rStyle w:val="PageNumber"/>
          <w:rFonts w:ascii="Times New Roman" w:hAnsi="Times New Roman" w:cs="Times New Roman"/>
        </w:rPr>
        <w:t xml:space="preserve"> the Chairs in</w:t>
      </w:r>
      <w:r w:rsidR="002410D9">
        <w:rPr>
          <w:rStyle w:val="PageNumber"/>
          <w:rFonts w:ascii="Times New Roman" w:hAnsi="Times New Roman" w:cs="Times New Roman"/>
        </w:rPr>
        <w:t xml:space="preserve"> </w:t>
      </w:r>
      <w:r w:rsidR="00181336">
        <w:rPr>
          <w:rStyle w:val="PageNumber"/>
          <w:rFonts w:ascii="Times New Roman" w:hAnsi="Times New Roman" w:cs="Times New Roman"/>
        </w:rPr>
        <w:t>thirteen</w:t>
      </w:r>
      <w:r w:rsidR="002410D9">
        <w:rPr>
          <w:rStyle w:val="PageNumber"/>
          <w:rFonts w:ascii="Times New Roman" w:hAnsi="Times New Roman" w:cs="Times New Roman"/>
        </w:rPr>
        <w:t xml:space="preserve"> Departments</w:t>
      </w:r>
      <w:r w:rsidR="00181336">
        <w:rPr>
          <w:rStyle w:val="PageNumber"/>
          <w:rFonts w:ascii="Times New Roman" w:hAnsi="Times New Roman" w:cs="Times New Roman"/>
        </w:rPr>
        <w:t xml:space="preserve"> who at acknowledge awareness that this HH Concentration is being proposed</w:t>
      </w:r>
      <w:r w:rsidR="00C82C5B">
        <w:rPr>
          <w:rStyle w:val="PageNumber"/>
          <w:rFonts w:ascii="Times New Roman" w:hAnsi="Times New Roman" w:cs="Times New Roman"/>
        </w:rPr>
        <w:t xml:space="preserve"> and support its development</w:t>
      </w:r>
      <w:r w:rsidR="00181336">
        <w:rPr>
          <w:rStyle w:val="PageNumber"/>
          <w:rFonts w:ascii="Times New Roman" w:hAnsi="Times New Roman" w:cs="Times New Roman"/>
        </w:rPr>
        <w:t>.)</w:t>
      </w:r>
    </w:p>
    <w:p w14:paraId="73636A5A" w14:textId="77777777" w:rsidR="00D62C71" w:rsidRDefault="001506F0" w:rsidP="001506F0">
      <w:pPr>
        <w:pStyle w:val="BodyA"/>
        <w:suppressAutoHyphens/>
        <w:rPr>
          <w:rStyle w:val="PageNumber"/>
          <w:rFonts w:ascii="Times New Roman" w:eastAsia="Times New Roman" w:hAnsi="Times New Roman" w:cs="Times New Roman"/>
        </w:rPr>
      </w:pPr>
      <w:r w:rsidRPr="00DE3226">
        <w:rPr>
          <w:rStyle w:val="PageNumber"/>
          <w:rFonts w:ascii="Times New Roman" w:eastAsia="Times New Roman" w:hAnsi="Times New Roman" w:cs="Times New Roman"/>
        </w:rPr>
        <w:tab/>
      </w:r>
    </w:p>
    <w:p w14:paraId="72D4D9EC" w14:textId="77777777" w:rsidR="00D62C71" w:rsidRDefault="00D62C71" w:rsidP="001506F0">
      <w:pPr>
        <w:pStyle w:val="BodyA"/>
        <w:suppressAutoHyphens/>
        <w:rPr>
          <w:rStyle w:val="PageNumber"/>
          <w:rFonts w:ascii="Times New Roman" w:eastAsia="Times New Roman" w:hAnsi="Times New Roman" w:cs="Times New Roman"/>
        </w:rPr>
      </w:pPr>
    </w:p>
    <w:p w14:paraId="5C20A750" w14:textId="77777777" w:rsidR="00D62C71" w:rsidRDefault="00D62C71" w:rsidP="001506F0">
      <w:pPr>
        <w:pStyle w:val="BodyA"/>
        <w:suppressAutoHyphens/>
        <w:rPr>
          <w:rStyle w:val="PageNumber"/>
          <w:rFonts w:ascii="Times New Roman" w:eastAsia="Times New Roman" w:hAnsi="Times New Roman" w:cs="Times New Roman"/>
        </w:rPr>
      </w:pPr>
    </w:p>
    <w:p w14:paraId="2E265E3C" w14:textId="77777777" w:rsidR="00D62C71" w:rsidRDefault="00D62C71" w:rsidP="001506F0">
      <w:pPr>
        <w:pStyle w:val="BodyA"/>
        <w:suppressAutoHyphens/>
        <w:rPr>
          <w:rStyle w:val="PageNumber"/>
          <w:rFonts w:ascii="Times New Roman" w:eastAsia="Times New Roman" w:hAnsi="Times New Roman" w:cs="Times New Roman"/>
        </w:rPr>
      </w:pPr>
    </w:p>
    <w:p w14:paraId="61E5E37D" w14:textId="77777777" w:rsidR="00D62C71" w:rsidRDefault="00D62C71" w:rsidP="001506F0">
      <w:pPr>
        <w:pStyle w:val="BodyA"/>
        <w:suppressAutoHyphens/>
        <w:rPr>
          <w:rStyle w:val="PageNumber"/>
          <w:rFonts w:ascii="Times New Roman" w:eastAsia="Times New Roman" w:hAnsi="Times New Roman" w:cs="Times New Roman"/>
        </w:rPr>
      </w:pPr>
    </w:p>
    <w:p w14:paraId="1AB22EAE" w14:textId="77777777" w:rsidR="00D62C71" w:rsidRDefault="00D62C71" w:rsidP="001506F0">
      <w:pPr>
        <w:pStyle w:val="BodyA"/>
        <w:suppressAutoHyphens/>
        <w:rPr>
          <w:rStyle w:val="PageNumber"/>
          <w:rFonts w:ascii="Times New Roman" w:eastAsia="Times New Roman" w:hAnsi="Times New Roman" w:cs="Times New Roman"/>
        </w:rPr>
      </w:pPr>
    </w:p>
    <w:p w14:paraId="106E5BBB" w14:textId="77777777" w:rsidR="00D62C71" w:rsidRDefault="00D62C71" w:rsidP="001506F0">
      <w:pPr>
        <w:pStyle w:val="BodyA"/>
        <w:suppressAutoHyphens/>
        <w:rPr>
          <w:rStyle w:val="PageNumber"/>
          <w:rFonts w:ascii="Times New Roman" w:eastAsia="Times New Roman" w:hAnsi="Times New Roman" w:cs="Times New Roman"/>
        </w:rPr>
      </w:pPr>
    </w:p>
    <w:p w14:paraId="484C402A" w14:textId="77777777" w:rsidR="00D62C71" w:rsidRDefault="00D62C71" w:rsidP="001506F0">
      <w:pPr>
        <w:pStyle w:val="BodyA"/>
        <w:suppressAutoHyphens/>
        <w:rPr>
          <w:rStyle w:val="PageNumber"/>
          <w:rFonts w:ascii="Times New Roman" w:eastAsia="Times New Roman" w:hAnsi="Times New Roman" w:cs="Times New Roman"/>
        </w:rPr>
      </w:pPr>
    </w:p>
    <w:p w14:paraId="153FDD2D" w14:textId="77777777" w:rsidR="00D62C71" w:rsidRDefault="00D62C71" w:rsidP="001506F0">
      <w:pPr>
        <w:pStyle w:val="BodyA"/>
        <w:suppressAutoHyphens/>
        <w:rPr>
          <w:rStyle w:val="PageNumber"/>
          <w:rFonts w:ascii="Times New Roman" w:eastAsia="Times New Roman" w:hAnsi="Times New Roman" w:cs="Times New Roman"/>
        </w:rPr>
      </w:pPr>
    </w:p>
    <w:p w14:paraId="0AF1521B" w14:textId="77777777" w:rsidR="00D62C71" w:rsidRDefault="00D62C71" w:rsidP="001506F0">
      <w:pPr>
        <w:pStyle w:val="BodyA"/>
        <w:suppressAutoHyphens/>
        <w:rPr>
          <w:rStyle w:val="PageNumber"/>
          <w:rFonts w:ascii="Times New Roman" w:eastAsia="Times New Roman" w:hAnsi="Times New Roman" w:cs="Times New Roman"/>
        </w:rPr>
      </w:pPr>
    </w:p>
    <w:p w14:paraId="5C1480FB" w14:textId="77777777" w:rsidR="00D62C71" w:rsidRDefault="00D62C71" w:rsidP="001506F0">
      <w:pPr>
        <w:pStyle w:val="BodyA"/>
        <w:suppressAutoHyphens/>
        <w:rPr>
          <w:rStyle w:val="PageNumber"/>
          <w:rFonts w:ascii="Times New Roman" w:eastAsia="Times New Roman" w:hAnsi="Times New Roman" w:cs="Times New Roman"/>
        </w:rPr>
      </w:pPr>
    </w:p>
    <w:p w14:paraId="6D6DFBC2" w14:textId="77777777" w:rsidR="00D62C71" w:rsidRDefault="00D62C71" w:rsidP="001506F0">
      <w:pPr>
        <w:pStyle w:val="BodyA"/>
        <w:suppressAutoHyphens/>
        <w:rPr>
          <w:rStyle w:val="PageNumber"/>
          <w:rFonts w:ascii="Times New Roman" w:eastAsia="Times New Roman" w:hAnsi="Times New Roman" w:cs="Times New Roman"/>
        </w:rPr>
      </w:pPr>
    </w:p>
    <w:p w14:paraId="1652352C" w14:textId="77777777" w:rsidR="00D62C71" w:rsidRDefault="00D62C71" w:rsidP="001506F0">
      <w:pPr>
        <w:pStyle w:val="BodyA"/>
        <w:suppressAutoHyphens/>
        <w:rPr>
          <w:rStyle w:val="PageNumber"/>
          <w:rFonts w:ascii="Times New Roman" w:eastAsia="Times New Roman" w:hAnsi="Times New Roman" w:cs="Times New Roman"/>
        </w:rPr>
      </w:pPr>
    </w:p>
    <w:p w14:paraId="5E769D7E" w14:textId="2F602402" w:rsidR="00746054" w:rsidRPr="00DE3226" w:rsidRDefault="001506F0" w:rsidP="001506F0">
      <w:pPr>
        <w:pStyle w:val="BodyA"/>
        <w:suppressAutoHyphens/>
        <w:rPr>
          <w:rFonts w:ascii="Times New Roman" w:hAnsi="Times New Roman" w:cs="Times New Roman"/>
          <w:b/>
          <w:bCs/>
        </w:rPr>
      </w:pPr>
      <w:r w:rsidRPr="00DE3226">
        <w:rPr>
          <w:rStyle w:val="PageNumber"/>
          <w:rFonts w:ascii="Times New Roman" w:hAnsi="Times New Roman" w:cs="Times New Roman"/>
        </w:rPr>
        <w:t xml:space="preserve"> </w:t>
      </w:r>
    </w:p>
    <w:p w14:paraId="23937307" w14:textId="231EEA14" w:rsidR="001506F0" w:rsidRPr="00DE3226" w:rsidRDefault="00D84C99" w:rsidP="00F42ED0">
      <w:pPr>
        <w:pStyle w:val="BodyA"/>
        <w:suppressAutoHyphens/>
        <w:ind w:firstLine="708"/>
        <w:rPr>
          <w:rStyle w:val="PageNumber"/>
          <w:rFonts w:ascii="Times New Roman" w:hAnsi="Times New Roman" w:cs="Times New Roman"/>
          <w:b/>
          <w:bCs/>
        </w:rPr>
      </w:pPr>
      <w:r w:rsidRPr="00DE3226">
        <w:rPr>
          <w:rFonts w:ascii="Times New Roman" w:hAnsi="Times New Roman" w:cs="Times New Roman"/>
          <w:b/>
          <w:bCs/>
        </w:rPr>
        <w:lastRenderedPageBreak/>
        <w:t xml:space="preserve">Description of the </w:t>
      </w:r>
      <w:r w:rsidR="00F42ED0" w:rsidRPr="00DE3226">
        <w:rPr>
          <w:rFonts w:ascii="Times New Roman" w:hAnsi="Times New Roman" w:cs="Times New Roman"/>
          <w:b/>
          <w:bCs/>
        </w:rPr>
        <w:t>New Cu</w:t>
      </w:r>
      <w:r w:rsidRPr="00DE3226">
        <w:rPr>
          <w:rFonts w:ascii="Times New Roman" w:hAnsi="Times New Roman" w:cs="Times New Roman"/>
          <w:b/>
          <w:bCs/>
        </w:rPr>
        <w:t>rriculum</w:t>
      </w:r>
    </w:p>
    <w:p w14:paraId="6AB0910F" w14:textId="77777777" w:rsidR="00D84C99" w:rsidRPr="00DE3226" w:rsidRDefault="00D84C99" w:rsidP="001506F0">
      <w:pPr>
        <w:pStyle w:val="BodyA"/>
        <w:suppressAutoHyphens/>
        <w:rPr>
          <w:rStyle w:val="PageNumber"/>
          <w:rFonts w:ascii="Times New Roman" w:hAnsi="Times New Roman" w:cs="Times New Roman"/>
        </w:rPr>
      </w:pPr>
    </w:p>
    <w:p w14:paraId="12B9CB29" w14:textId="24097D7A" w:rsidR="00D84C99" w:rsidRPr="00DE3226" w:rsidRDefault="00F42ED0" w:rsidP="00D84C99">
      <w:pPr>
        <w:pStyle w:val="Default"/>
        <w:rPr>
          <w:rFonts w:ascii="Times New Roman" w:hAnsi="Times New Roman" w:cs="Times New Roman"/>
          <w:b/>
          <w:bCs/>
          <w:sz w:val="24"/>
          <w:szCs w:val="24"/>
          <w:u w:color="000000"/>
          <w:lang w:val="en-US"/>
        </w:rPr>
      </w:pPr>
      <w:r w:rsidRPr="00DE3226">
        <w:rPr>
          <w:rFonts w:ascii="Times New Roman" w:hAnsi="Times New Roman" w:cs="Times New Roman"/>
          <w:b/>
          <w:bCs/>
          <w:sz w:val="24"/>
          <w:szCs w:val="24"/>
          <w:u w:color="000000"/>
          <w:lang w:val="en-US"/>
        </w:rPr>
        <w:t>Requirements</w:t>
      </w:r>
      <w:r w:rsidR="00212F7B" w:rsidRPr="00DE3226">
        <w:rPr>
          <w:rFonts w:ascii="Times New Roman" w:hAnsi="Times New Roman" w:cs="Times New Roman"/>
          <w:b/>
          <w:bCs/>
          <w:sz w:val="24"/>
          <w:szCs w:val="24"/>
          <w:u w:color="000000"/>
          <w:lang w:val="en-US"/>
        </w:rPr>
        <w:t xml:space="preserve"> (18 credits total)</w:t>
      </w:r>
    </w:p>
    <w:p w14:paraId="14574F20" w14:textId="347ACE75" w:rsidR="00212F7B" w:rsidRDefault="00212F7B" w:rsidP="00D84C99">
      <w:pPr>
        <w:pStyle w:val="Default"/>
        <w:rPr>
          <w:rFonts w:ascii="Times New Roman" w:hAnsi="Times New Roman" w:cs="Times New Roman"/>
          <w:b/>
          <w:bCs/>
          <w:sz w:val="24"/>
          <w:szCs w:val="24"/>
          <w:u w:color="000000"/>
          <w:lang w:val="en-US"/>
        </w:rPr>
      </w:pPr>
    </w:p>
    <w:p w14:paraId="664F345F" w14:textId="7EEA9652" w:rsidR="00D62C71" w:rsidRDefault="00D62C71" w:rsidP="00D84C99">
      <w:pPr>
        <w:pStyle w:val="Default"/>
        <w:rPr>
          <w:rFonts w:ascii="Times New Roman" w:hAnsi="Times New Roman" w:cs="Times New Roman"/>
          <w:b/>
          <w:bCs/>
          <w:sz w:val="24"/>
          <w:szCs w:val="24"/>
          <w:u w:color="000000"/>
          <w:lang w:val="en-US"/>
        </w:rPr>
      </w:pPr>
      <w:r>
        <w:rPr>
          <w:rFonts w:ascii="Times New Roman" w:hAnsi="Times New Roman" w:cs="Times New Roman"/>
          <w:b/>
          <w:bCs/>
          <w:sz w:val="24"/>
          <w:szCs w:val="24"/>
          <w:u w:color="000000"/>
          <w:lang w:val="en-US"/>
        </w:rPr>
        <w:tab/>
        <w:t xml:space="preserve">Core Requirements: </w:t>
      </w:r>
    </w:p>
    <w:p w14:paraId="0895D6AE" w14:textId="77777777" w:rsidR="00D62C71" w:rsidRPr="00DE3226" w:rsidRDefault="00D62C71" w:rsidP="00D84C99">
      <w:pPr>
        <w:pStyle w:val="Default"/>
        <w:rPr>
          <w:rFonts w:ascii="Times New Roman" w:hAnsi="Times New Roman" w:cs="Times New Roman"/>
          <w:b/>
          <w:bCs/>
          <w:sz w:val="24"/>
          <w:szCs w:val="24"/>
          <w:u w:color="000000"/>
          <w:lang w:val="en-US"/>
        </w:rPr>
      </w:pPr>
    </w:p>
    <w:p w14:paraId="4BFD95EC" w14:textId="40C85B06" w:rsidR="001217EF" w:rsidRDefault="001217EF" w:rsidP="00D62C71">
      <w:pPr>
        <w:pStyle w:val="ListParagraph"/>
        <w:rPr>
          <w:rFonts w:ascii="Times New Roman" w:hAnsi="Times New Roman" w:cs="Times New Roman"/>
          <w:b/>
          <w:color w:val="000000" w:themeColor="text1"/>
        </w:rPr>
      </w:pPr>
      <w:r w:rsidRPr="00BF6420">
        <w:rPr>
          <w:rFonts w:ascii="Times New Roman" w:hAnsi="Times New Roman" w:cs="Times New Roman"/>
          <w:b/>
          <w:color w:val="000000" w:themeColor="text1"/>
        </w:rPr>
        <w:t>Students must take ENLT 224: Perspectives in Literature about Illness</w:t>
      </w:r>
      <w:r w:rsidR="00BF6420">
        <w:rPr>
          <w:rFonts w:ascii="Times New Roman" w:hAnsi="Times New Roman" w:cs="Times New Roman"/>
          <w:b/>
          <w:color w:val="000000" w:themeColor="text1"/>
        </w:rPr>
        <w:t>.</w:t>
      </w:r>
      <w:r w:rsidR="00BF6420">
        <w:rPr>
          <w:rStyle w:val="FootnoteReference"/>
          <w:rFonts w:ascii="Times New Roman" w:hAnsi="Times New Roman" w:cs="Times New Roman"/>
          <w:b/>
          <w:color w:val="000000" w:themeColor="text1"/>
        </w:rPr>
        <w:footnoteReference w:id="14"/>
      </w:r>
      <w:r w:rsidRPr="00BF6420">
        <w:rPr>
          <w:rFonts w:ascii="Times New Roman" w:hAnsi="Times New Roman" w:cs="Times New Roman"/>
          <w:b/>
          <w:color w:val="000000" w:themeColor="text1"/>
        </w:rPr>
        <w:t xml:space="preserve"> </w:t>
      </w:r>
    </w:p>
    <w:p w14:paraId="6158BB16" w14:textId="77777777" w:rsidR="00F8318E" w:rsidRPr="00BF6420" w:rsidRDefault="00F8318E" w:rsidP="00D62C71">
      <w:pPr>
        <w:pStyle w:val="ListParagraph"/>
        <w:rPr>
          <w:rFonts w:ascii="Times New Roman" w:hAnsi="Times New Roman" w:cs="Times New Roman"/>
          <w:b/>
          <w:color w:val="000000" w:themeColor="text1"/>
        </w:rPr>
      </w:pPr>
    </w:p>
    <w:p w14:paraId="15F3E5F4" w14:textId="7538BF22" w:rsidR="001217EF" w:rsidRDefault="001217EF" w:rsidP="00D62C71">
      <w:pPr>
        <w:pStyle w:val="ListParagraph"/>
        <w:rPr>
          <w:rFonts w:ascii="Times New Roman" w:hAnsi="Times New Roman" w:cs="Times New Roman"/>
          <w:bCs/>
          <w:color w:val="000000" w:themeColor="text1"/>
        </w:rPr>
      </w:pPr>
      <w:r w:rsidRPr="00DE3226">
        <w:rPr>
          <w:rFonts w:ascii="Times New Roman" w:hAnsi="Times New Roman" w:cs="Times New Roman"/>
          <w:b/>
          <w:bCs/>
          <w:u w:color="000000"/>
        </w:rPr>
        <w:t>S</w:t>
      </w:r>
      <w:r w:rsidRPr="00DE3226">
        <w:rPr>
          <w:rFonts w:ascii="Times New Roman" w:hAnsi="Times New Roman" w:cs="Times New Roman"/>
          <w:u w:color="000000"/>
        </w:rPr>
        <w:t xml:space="preserve">tudents must have </w:t>
      </w:r>
      <w:r w:rsidRPr="00DE3226">
        <w:rPr>
          <w:rFonts w:ascii="Times New Roman" w:hAnsi="Times New Roman" w:cs="Times New Roman"/>
          <w:b/>
          <w:color w:val="000000" w:themeColor="text1"/>
        </w:rPr>
        <w:t xml:space="preserve">three </w:t>
      </w:r>
      <w:proofErr w:type="spellStart"/>
      <w:r w:rsidRPr="00DE3226">
        <w:rPr>
          <w:rFonts w:ascii="Times New Roman" w:hAnsi="Times New Roman" w:cs="Times New Roman"/>
          <w:b/>
          <w:color w:val="000000" w:themeColor="text1"/>
        </w:rPr>
        <w:t>transcripted</w:t>
      </w:r>
      <w:proofErr w:type="spellEnd"/>
      <w:r w:rsidRPr="00DE3226">
        <w:rPr>
          <w:rFonts w:ascii="Times New Roman" w:hAnsi="Times New Roman" w:cs="Times New Roman"/>
          <w:b/>
          <w:color w:val="000000" w:themeColor="text1"/>
        </w:rPr>
        <w:t xml:space="preserve"> credits of a world language other than English among their 18 credits, </w:t>
      </w:r>
      <w:r w:rsidRPr="00DE3226">
        <w:rPr>
          <w:rFonts w:ascii="Times New Roman" w:hAnsi="Times New Roman" w:cs="Times New Roman"/>
          <w:bCs/>
          <w:color w:val="000000" w:themeColor="text1"/>
        </w:rPr>
        <w:t xml:space="preserve">or they must </w:t>
      </w:r>
      <w:r w:rsidRPr="00DE3226">
        <w:rPr>
          <w:rFonts w:ascii="Times New Roman" w:hAnsi="Times New Roman" w:cs="Times New Roman"/>
          <w:b/>
          <w:color w:val="000000" w:themeColor="text1"/>
        </w:rPr>
        <w:t xml:space="preserve">have placed at the 300-level of a language, </w:t>
      </w:r>
      <w:r w:rsidRPr="00DE3226">
        <w:rPr>
          <w:rFonts w:ascii="Times New Roman" w:hAnsi="Times New Roman" w:cs="Times New Roman"/>
          <w:bCs/>
          <w:color w:val="000000" w:themeColor="text1"/>
        </w:rPr>
        <w:t xml:space="preserve">as determined by the University’s Language Learning Center. </w:t>
      </w:r>
    </w:p>
    <w:p w14:paraId="1D097749" w14:textId="34CEEFE7" w:rsidR="00D62C71" w:rsidRDefault="00D62C71" w:rsidP="00D62C71">
      <w:pPr>
        <w:ind w:left="360"/>
        <w:rPr>
          <w:bCs/>
          <w:color w:val="000000" w:themeColor="text1"/>
        </w:rPr>
      </w:pPr>
    </w:p>
    <w:p w14:paraId="01D6393A" w14:textId="34599E88" w:rsidR="00D62C71" w:rsidRDefault="00D62C71" w:rsidP="00D62C71">
      <w:pPr>
        <w:ind w:left="708"/>
        <w:rPr>
          <w:b/>
          <w:color w:val="000000" w:themeColor="text1"/>
        </w:rPr>
      </w:pPr>
      <w:r>
        <w:rPr>
          <w:b/>
          <w:color w:val="000000" w:themeColor="text1"/>
        </w:rPr>
        <w:t xml:space="preserve">Humanities and Health Elective Courses: </w:t>
      </w:r>
    </w:p>
    <w:p w14:paraId="36B63341" w14:textId="77777777" w:rsidR="00D62C71" w:rsidRPr="00D62C71" w:rsidRDefault="00D62C71" w:rsidP="00D62C71">
      <w:pPr>
        <w:ind w:left="708"/>
        <w:rPr>
          <w:b/>
          <w:color w:val="000000" w:themeColor="text1"/>
        </w:rPr>
      </w:pPr>
    </w:p>
    <w:p w14:paraId="48C9853A" w14:textId="61CF4F3C" w:rsidR="001217EF" w:rsidRPr="002A0958" w:rsidRDefault="001217EF" w:rsidP="00D62C71">
      <w:pPr>
        <w:pStyle w:val="ListParagraph"/>
        <w:rPr>
          <w:color w:val="000000" w:themeColor="text1"/>
        </w:rPr>
      </w:pPr>
      <w:r w:rsidRPr="002A0958">
        <w:rPr>
          <w:rFonts w:ascii="Times New Roman" w:hAnsi="Times New Roman" w:cs="Times New Roman"/>
          <w:u w:color="000000"/>
        </w:rPr>
        <w:t xml:space="preserve">Students must take a combination </w:t>
      </w:r>
      <w:r w:rsidR="00D62C71">
        <w:rPr>
          <w:rFonts w:ascii="Times New Roman" w:hAnsi="Times New Roman" w:cs="Times New Roman"/>
          <w:u w:color="000000"/>
        </w:rPr>
        <w:t>of humanities elective courses</w:t>
      </w:r>
      <w:r w:rsidRPr="002A0958">
        <w:rPr>
          <w:rFonts w:ascii="Times New Roman" w:hAnsi="Times New Roman" w:cs="Times New Roman"/>
          <w:u w:color="000000"/>
        </w:rPr>
        <w:t xml:space="preserve"> (</w:t>
      </w:r>
      <w:r w:rsidR="00D62C71">
        <w:rPr>
          <w:rFonts w:ascii="Times New Roman" w:hAnsi="Times New Roman" w:cs="Times New Roman"/>
          <w:u w:color="000000"/>
        </w:rPr>
        <w:t>6</w:t>
      </w:r>
      <w:r w:rsidRPr="002A0958">
        <w:rPr>
          <w:rFonts w:ascii="Times New Roman" w:hAnsi="Times New Roman" w:cs="Times New Roman"/>
          <w:u w:color="000000"/>
        </w:rPr>
        <w:t xml:space="preserve"> credits, unless a student has placed at the 300-level of a language, as explained in the following model</w:t>
      </w:r>
      <w:r w:rsidR="00D62C71">
        <w:rPr>
          <w:rFonts w:ascii="Times New Roman" w:hAnsi="Times New Roman" w:cs="Times New Roman"/>
          <w:u w:color="000000"/>
        </w:rPr>
        <w:t>—in this case, the student would complete 9 credits of humanities electives</w:t>
      </w:r>
      <w:r w:rsidRPr="002A0958">
        <w:rPr>
          <w:rFonts w:ascii="Times New Roman" w:hAnsi="Times New Roman" w:cs="Times New Roman"/>
          <w:u w:color="000000"/>
        </w:rPr>
        <w:t xml:space="preserve">) and </w:t>
      </w:r>
      <w:r w:rsidR="00D62C71">
        <w:rPr>
          <w:rFonts w:ascii="Times New Roman" w:hAnsi="Times New Roman" w:cs="Times New Roman"/>
          <w:u w:color="000000"/>
        </w:rPr>
        <w:t>health elective courses</w:t>
      </w:r>
      <w:r w:rsidRPr="002A0958">
        <w:rPr>
          <w:rFonts w:ascii="Times New Roman" w:hAnsi="Times New Roman" w:cs="Times New Roman"/>
          <w:u w:color="000000"/>
        </w:rPr>
        <w:t xml:space="preserve"> (6 credits). </w:t>
      </w:r>
      <w:r w:rsidRPr="002A0958">
        <w:rPr>
          <w:rFonts w:ascii="Times New Roman" w:hAnsi="Times New Roman" w:cs="Times New Roman"/>
          <w:b/>
          <w:bCs/>
          <w:u w:color="000000"/>
        </w:rPr>
        <w:t xml:space="preserve">A student may </w:t>
      </w:r>
      <w:r>
        <w:rPr>
          <w:rFonts w:ascii="Times New Roman" w:hAnsi="Times New Roman" w:cs="Times New Roman"/>
          <w:b/>
          <w:bCs/>
          <w:u w:color="000000"/>
        </w:rPr>
        <w:t>apply no more than six credits of courses with any one prefix</w:t>
      </w:r>
      <w:r w:rsidR="00D62C71">
        <w:rPr>
          <w:rFonts w:ascii="Times New Roman" w:hAnsi="Times New Roman" w:cs="Times New Roman"/>
          <w:b/>
          <w:bCs/>
          <w:u w:color="000000"/>
        </w:rPr>
        <w:t xml:space="preserve"> </w:t>
      </w:r>
      <w:r>
        <w:rPr>
          <w:rFonts w:ascii="Times New Roman" w:hAnsi="Times New Roman" w:cs="Times New Roman"/>
          <w:b/>
          <w:bCs/>
          <w:u w:color="000000"/>
        </w:rPr>
        <w:t>to the concentration</w:t>
      </w:r>
      <w:r>
        <w:rPr>
          <w:rFonts w:ascii="Times New Roman" w:hAnsi="Times New Roman" w:cs="Times New Roman"/>
          <w:u w:color="000000"/>
        </w:rPr>
        <w:t xml:space="preserve">. </w:t>
      </w:r>
    </w:p>
    <w:p w14:paraId="4E43B141" w14:textId="671604D6" w:rsidR="001217EF" w:rsidRDefault="001217EF" w:rsidP="00D62C71">
      <w:pPr>
        <w:pStyle w:val="ListParagraph"/>
        <w:rPr>
          <w:rFonts w:ascii="Times New Roman" w:hAnsi="Times New Roman" w:cs="Times New Roman"/>
          <w:color w:val="000000" w:themeColor="text1"/>
        </w:rPr>
      </w:pPr>
    </w:p>
    <w:p w14:paraId="52C476F5" w14:textId="478FFF5D" w:rsidR="00D62C71" w:rsidRPr="00D62C71" w:rsidRDefault="00D62C71" w:rsidP="00D62C71">
      <w:pPr>
        <w:pStyle w:val="ListParagraph"/>
        <w:rPr>
          <w:rFonts w:ascii="Times New Roman" w:hAnsi="Times New Roman" w:cs="Times New Roman"/>
          <w:b/>
          <w:bCs/>
          <w:color w:val="000000" w:themeColor="text1"/>
        </w:rPr>
      </w:pPr>
      <w:r>
        <w:rPr>
          <w:rFonts w:ascii="Times New Roman" w:hAnsi="Times New Roman" w:cs="Times New Roman"/>
          <w:b/>
          <w:bCs/>
          <w:color w:val="000000" w:themeColor="text1"/>
        </w:rPr>
        <w:t>Service or Experiential Learning:</w:t>
      </w:r>
    </w:p>
    <w:p w14:paraId="79FC820C" w14:textId="77777777" w:rsidR="00D62C71" w:rsidRDefault="00D62C71" w:rsidP="00D62C71">
      <w:pPr>
        <w:pStyle w:val="ListParagraph"/>
        <w:rPr>
          <w:rFonts w:ascii="Times New Roman" w:hAnsi="Times New Roman" w:cs="Times New Roman"/>
          <w:color w:val="000000" w:themeColor="text1"/>
        </w:rPr>
      </w:pPr>
    </w:p>
    <w:p w14:paraId="618C6CE8" w14:textId="45BF12DE" w:rsidR="00F93E94" w:rsidRPr="00DE3226" w:rsidRDefault="00212F7B" w:rsidP="00D62C71">
      <w:pPr>
        <w:pStyle w:val="ListParagraph"/>
        <w:rPr>
          <w:rFonts w:ascii="Times New Roman" w:hAnsi="Times New Roman" w:cs="Times New Roman"/>
          <w:color w:val="000000" w:themeColor="text1"/>
        </w:rPr>
      </w:pPr>
      <w:r w:rsidRPr="00DE3226">
        <w:rPr>
          <w:rFonts w:ascii="Times New Roman" w:hAnsi="Times New Roman" w:cs="Times New Roman"/>
          <w:color w:val="000000" w:themeColor="text1"/>
        </w:rPr>
        <w:t xml:space="preserve">Students must complete </w:t>
      </w:r>
      <w:r w:rsidRPr="00DE3226">
        <w:rPr>
          <w:rFonts w:ascii="Times New Roman" w:hAnsi="Times New Roman" w:cs="Times New Roman"/>
          <w:b/>
          <w:color w:val="000000" w:themeColor="text1"/>
        </w:rPr>
        <w:t>ten hours of service</w:t>
      </w:r>
      <w:r w:rsidR="00C82C5B">
        <w:rPr>
          <w:rFonts w:ascii="Times New Roman" w:hAnsi="Times New Roman" w:cs="Times New Roman"/>
          <w:b/>
          <w:color w:val="000000" w:themeColor="text1"/>
        </w:rPr>
        <w:t xml:space="preserve"> or </w:t>
      </w:r>
      <w:r w:rsidRPr="00DE3226">
        <w:rPr>
          <w:rFonts w:ascii="Times New Roman" w:hAnsi="Times New Roman" w:cs="Times New Roman"/>
          <w:b/>
          <w:color w:val="000000" w:themeColor="text1"/>
        </w:rPr>
        <w:t>experiential learning</w:t>
      </w:r>
      <w:r w:rsidRPr="00DE3226">
        <w:rPr>
          <w:rFonts w:ascii="Times New Roman" w:hAnsi="Times New Roman" w:cs="Times New Roman"/>
          <w:color w:val="000000" w:themeColor="text1"/>
        </w:rPr>
        <w:t xml:space="preserve">. Students can complete these hours by taking one of the courses that includes community-based learning or experiential learning within the concentration, or they may complete this requirement independently. If a student opts for the latter, </w:t>
      </w:r>
      <w:r w:rsidR="00C82C5B">
        <w:rPr>
          <w:rFonts w:ascii="Times New Roman" w:hAnsi="Times New Roman" w:cs="Times New Roman"/>
          <w:color w:val="000000" w:themeColor="text1"/>
        </w:rPr>
        <w:t>the student should speak with the program director for approval and then submit a</w:t>
      </w:r>
      <w:r w:rsidRPr="00DE3226">
        <w:rPr>
          <w:rFonts w:ascii="Times New Roman" w:hAnsi="Times New Roman" w:cs="Times New Roman"/>
          <w:color w:val="000000" w:themeColor="text1"/>
        </w:rPr>
        <w:t xml:space="preserve"> reflection journal on these hours </w:t>
      </w:r>
      <w:r w:rsidR="00C82C5B">
        <w:rPr>
          <w:rFonts w:ascii="Times New Roman" w:hAnsi="Times New Roman" w:cs="Times New Roman"/>
          <w:color w:val="000000" w:themeColor="text1"/>
        </w:rPr>
        <w:t>following their completion,</w:t>
      </w:r>
      <w:r w:rsidRPr="00DE3226">
        <w:rPr>
          <w:rFonts w:ascii="Times New Roman" w:hAnsi="Times New Roman" w:cs="Times New Roman"/>
          <w:color w:val="000000" w:themeColor="text1"/>
        </w:rPr>
        <w:t xml:space="preserve"> required </w:t>
      </w:r>
      <w:r w:rsidR="00C82C5B">
        <w:rPr>
          <w:rFonts w:ascii="Times New Roman" w:hAnsi="Times New Roman" w:cs="Times New Roman"/>
          <w:color w:val="000000" w:themeColor="text1"/>
        </w:rPr>
        <w:t>prior to graduation.</w:t>
      </w:r>
    </w:p>
    <w:p w14:paraId="3D2F9ACD" w14:textId="77777777" w:rsidR="002A0958" w:rsidRPr="002A0958" w:rsidRDefault="002A0958" w:rsidP="002A0958">
      <w:pPr>
        <w:pStyle w:val="ListParagraph"/>
        <w:rPr>
          <w:color w:val="000000" w:themeColor="text1"/>
        </w:rPr>
      </w:pPr>
    </w:p>
    <w:p w14:paraId="1B2E3DFF" w14:textId="3487ECC6" w:rsidR="00B94A4B" w:rsidRPr="00DE3226" w:rsidRDefault="00212F7B" w:rsidP="00F74153">
      <w:pPr>
        <w:ind w:left="360"/>
        <w:rPr>
          <w:color w:val="000000" w:themeColor="text1"/>
        </w:rPr>
      </w:pPr>
      <w:r w:rsidRPr="00DE3226">
        <w:rPr>
          <w:color w:val="000000" w:themeColor="text1"/>
        </w:rPr>
        <w:t>The</w:t>
      </w:r>
      <w:r w:rsidR="00D62C71">
        <w:rPr>
          <w:color w:val="000000" w:themeColor="text1"/>
        </w:rPr>
        <w:t xml:space="preserve"> world</w:t>
      </w:r>
      <w:r w:rsidRPr="00DE3226">
        <w:rPr>
          <w:color w:val="000000" w:themeColor="text1"/>
        </w:rPr>
        <w:t xml:space="preserve"> language requirement model that follows explains how </w:t>
      </w:r>
      <w:r w:rsidR="00D62C71">
        <w:rPr>
          <w:color w:val="000000" w:themeColor="text1"/>
        </w:rPr>
        <w:t xml:space="preserve">the concentration’s 18 </w:t>
      </w:r>
      <w:r w:rsidRPr="00DE3226">
        <w:rPr>
          <w:color w:val="000000" w:themeColor="text1"/>
        </w:rPr>
        <w:t xml:space="preserve">credits may be distributed </w:t>
      </w:r>
      <w:r w:rsidR="00B94A4B" w:rsidRPr="00DE3226">
        <w:rPr>
          <w:color w:val="000000" w:themeColor="text1"/>
        </w:rPr>
        <w:t xml:space="preserve">1. for </w:t>
      </w:r>
      <w:r w:rsidRPr="00DE3226">
        <w:rPr>
          <w:color w:val="000000" w:themeColor="text1"/>
        </w:rPr>
        <w:t xml:space="preserve">students </w:t>
      </w:r>
      <w:r w:rsidR="00BC0596" w:rsidRPr="00DE3226">
        <w:rPr>
          <w:color w:val="000000" w:themeColor="text1"/>
        </w:rPr>
        <w:t>with three language credits</w:t>
      </w:r>
      <w:r w:rsidR="00F93E94" w:rsidRPr="00DE3226">
        <w:rPr>
          <w:color w:val="000000" w:themeColor="text1"/>
        </w:rPr>
        <w:t xml:space="preserve"> already</w:t>
      </w:r>
      <w:r w:rsidR="00BC0596" w:rsidRPr="00DE3226">
        <w:rPr>
          <w:color w:val="000000" w:themeColor="text1"/>
        </w:rPr>
        <w:t xml:space="preserve"> </w:t>
      </w:r>
      <w:proofErr w:type="spellStart"/>
      <w:r w:rsidR="00BC0596" w:rsidRPr="00DE3226">
        <w:rPr>
          <w:color w:val="000000" w:themeColor="text1"/>
        </w:rPr>
        <w:t>transcripted</w:t>
      </w:r>
      <w:proofErr w:type="spellEnd"/>
      <w:r w:rsidR="00BC0596" w:rsidRPr="00DE3226">
        <w:rPr>
          <w:color w:val="000000" w:themeColor="text1"/>
        </w:rPr>
        <w:t xml:space="preserve">, </w:t>
      </w:r>
      <w:r w:rsidR="00B94A4B" w:rsidRPr="00DE3226">
        <w:rPr>
          <w:color w:val="000000" w:themeColor="text1"/>
        </w:rPr>
        <w:t xml:space="preserve">2. </w:t>
      </w:r>
      <w:r w:rsidR="00BC0596" w:rsidRPr="00DE3226">
        <w:rPr>
          <w:color w:val="000000" w:themeColor="text1"/>
        </w:rPr>
        <w:t>for students without language credits</w:t>
      </w:r>
      <w:r w:rsidR="00F93E94" w:rsidRPr="00DE3226">
        <w:rPr>
          <w:color w:val="000000" w:themeColor="text1"/>
        </w:rPr>
        <w:t xml:space="preserve"> who are</w:t>
      </w:r>
      <w:r w:rsidR="00BC0596" w:rsidRPr="00DE3226">
        <w:rPr>
          <w:color w:val="000000" w:themeColor="text1"/>
        </w:rPr>
        <w:t xml:space="preserve"> </w:t>
      </w:r>
      <w:r w:rsidRPr="00DE3226">
        <w:rPr>
          <w:color w:val="000000" w:themeColor="text1"/>
        </w:rPr>
        <w:t>beginning at the 100 or 200 level of a language</w:t>
      </w:r>
      <w:r w:rsidR="00BC0596" w:rsidRPr="00DE3226">
        <w:rPr>
          <w:color w:val="000000" w:themeColor="text1"/>
        </w:rPr>
        <w:t xml:space="preserve">, and </w:t>
      </w:r>
      <w:r w:rsidR="00B94A4B" w:rsidRPr="00DE3226">
        <w:rPr>
          <w:color w:val="000000" w:themeColor="text1"/>
        </w:rPr>
        <w:t xml:space="preserve">3. </w:t>
      </w:r>
      <w:r w:rsidR="00BC0596" w:rsidRPr="00DE3226">
        <w:rPr>
          <w:color w:val="000000" w:themeColor="text1"/>
        </w:rPr>
        <w:t xml:space="preserve">for students who have placed at the 300 level of a language. </w:t>
      </w:r>
      <w:r w:rsidR="00F93E94" w:rsidRPr="00DE3226">
        <w:rPr>
          <w:color w:val="000000" w:themeColor="text1"/>
        </w:rPr>
        <w:t>(By “</w:t>
      </w:r>
      <w:proofErr w:type="spellStart"/>
      <w:r w:rsidR="00F93E94" w:rsidRPr="00DE3226">
        <w:rPr>
          <w:color w:val="000000" w:themeColor="text1"/>
        </w:rPr>
        <w:t>transcripted</w:t>
      </w:r>
      <w:proofErr w:type="spellEnd"/>
      <w:r w:rsidR="00F93E94" w:rsidRPr="00DE3226">
        <w:rPr>
          <w:color w:val="000000" w:themeColor="text1"/>
        </w:rPr>
        <w:t xml:space="preserve">,” we also note that </w:t>
      </w:r>
      <w:r w:rsidR="00B94A4B" w:rsidRPr="00DE3226">
        <w:rPr>
          <w:color w:val="000000" w:themeColor="text1"/>
        </w:rPr>
        <w:t>students may have language credits through</w:t>
      </w:r>
      <w:r w:rsidR="00F93E94" w:rsidRPr="00DE3226">
        <w:rPr>
          <w:color w:val="000000" w:themeColor="text1"/>
        </w:rPr>
        <w:t xml:space="preserve"> AP or transfer credits </w:t>
      </w:r>
      <w:r w:rsidR="00B94A4B" w:rsidRPr="00DE3226">
        <w:rPr>
          <w:color w:val="000000" w:themeColor="text1"/>
        </w:rPr>
        <w:t>on their transcripts</w:t>
      </w:r>
      <w:r w:rsidR="00F93E94" w:rsidRPr="00DE3226">
        <w:rPr>
          <w:color w:val="000000" w:themeColor="text1"/>
        </w:rPr>
        <w:t xml:space="preserve">. </w:t>
      </w:r>
      <w:r w:rsidR="007A1D41" w:rsidRPr="00DE3226">
        <w:rPr>
          <w:color w:val="000000" w:themeColor="text1"/>
        </w:rPr>
        <w:t>Placement in a previously studied language will be determined by placement testing in the Universi</w:t>
      </w:r>
      <w:r w:rsidR="00F93E94" w:rsidRPr="00DE3226">
        <w:rPr>
          <w:color w:val="000000" w:themeColor="text1"/>
        </w:rPr>
        <w:t xml:space="preserve">ty’s Language Learning Center.) </w:t>
      </w:r>
    </w:p>
    <w:p w14:paraId="0A7A7C00" w14:textId="33C4F397" w:rsidR="00B94A4B" w:rsidRPr="00DE3226" w:rsidRDefault="00B94A4B" w:rsidP="00BC0596">
      <w:pPr>
        <w:rPr>
          <w:color w:val="000000" w:themeColor="text1"/>
        </w:rPr>
      </w:pPr>
    </w:p>
    <w:p w14:paraId="1AC4AA56" w14:textId="7D64B107" w:rsidR="00F93E94" w:rsidRPr="00DE3226" w:rsidRDefault="00F93E94" w:rsidP="00F74153">
      <w:pPr>
        <w:ind w:left="360"/>
        <w:rPr>
          <w:color w:val="000000" w:themeColor="text1"/>
        </w:rPr>
      </w:pPr>
      <w:r w:rsidRPr="00DE3226">
        <w:rPr>
          <w:color w:val="000000" w:themeColor="text1"/>
        </w:rPr>
        <w:t>The concentration</w:t>
      </w:r>
      <w:r w:rsidR="00B94A4B" w:rsidRPr="00DE3226">
        <w:rPr>
          <w:color w:val="000000" w:themeColor="text1"/>
        </w:rPr>
        <w:t xml:space="preserve"> and language requirement</w:t>
      </w:r>
      <w:r w:rsidRPr="00DE3226">
        <w:rPr>
          <w:color w:val="000000" w:themeColor="text1"/>
        </w:rPr>
        <w:t xml:space="preserve"> can thus be navigated </w:t>
      </w:r>
      <w:r w:rsidR="00B94A4B" w:rsidRPr="00DE3226">
        <w:rPr>
          <w:color w:val="000000" w:themeColor="text1"/>
        </w:rPr>
        <w:t>in the following</w:t>
      </w:r>
      <w:r w:rsidR="00485DDF">
        <w:rPr>
          <w:color w:val="000000" w:themeColor="text1"/>
        </w:rPr>
        <w:t xml:space="preserve"> </w:t>
      </w:r>
      <w:r w:rsidR="00B94A4B" w:rsidRPr="00DE3226">
        <w:rPr>
          <w:color w:val="000000" w:themeColor="text1"/>
        </w:rPr>
        <w:t>ways:</w:t>
      </w:r>
    </w:p>
    <w:p w14:paraId="13CD5A88" w14:textId="22D90AC0" w:rsidR="00783C6A" w:rsidRPr="00C82C5B" w:rsidRDefault="001127F6" w:rsidP="00783C6A">
      <w:pPr>
        <w:rPr>
          <w:color w:val="000000" w:themeColor="text1"/>
        </w:rPr>
      </w:pPr>
      <w:r>
        <w:rPr>
          <w:noProof/>
        </w:rPr>
        <w:lastRenderedPageBreak/>
        <w:drawing>
          <wp:inline distT="0" distB="0" distL="0" distR="0" wp14:anchorId="40691893" wp14:editId="57CB07A4">
            <wp:extent cx="5612130" cy="451612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12130" cy="4516120"/>
                    </a:xfrm>
                    <a:prstGeom prst="rect">
                      <a:avLst/>
                    </a:prstGeom>
                  </pic:spPr>
                </pic:pic>
              </a:graphicData>
            </a:graphic>
          </wp:inline>
        </w:drawing>
      </w:r>
      <w:r w:rsidR="00783C6A" w:rsidRPr="00DE3226">
        <w:rPr>
          <w:b/>
        </w:rPr>
        <w:t xml:space="preserve">CORE </w:t>
      </w:r>
      <w:r>
        <w:rPr>
          <w:b/>
        </w:rPr>
        <w:t>REQUIREMENTS</w:t>
      </w:r>
    </w:p>
    <w:p w14:paraId="4816E0F5" w14:textId="77777777" w:rsidR="00783C6A" w:rsidRPr="00DE3226" w:rsidRDefault="00783C6A" w:rsidP="00783C6A"/>
    <w:tbl>
      <w:tblPr>
        <w:tblStyle w:val="TableGrid"/>
        <w:tblW w:w="8635" w:type="dxa"/>
        <w:tblLook w:val="04A0" w:firstRow="1" w:lastRow="0" w:firstColumn="1" w:lastColumn="0" w:noHBand="0" w:noVBand="1"/>
      </w:tblPr>
      <w:tblGrid>
        <w:gridCol w:w="1830"/>
        <w:gridCol w:w="4465"/>
        <w:gridCol w:w="2340"/>
      </w:tblGrid>
      <w:tr w:rsidR="00783C6A" w:rsidRPr="00DE3226" w14:paraId="4F1EFFAC" w14:textId="77777777" w:rsidTr="00820353">
        <w:trPr>
          <w:trHeight w:val="314"/>
        </w:trPr>
        <w:tc>
          <w:tcPr>
            <w:tcW w:w="1830" w:type="dxa"/>
          </w:tcPr>
          <w:p w14:paraId="30C0F0C5" w14:textId="77777777" w:rsidR="00783C6A" w:rsidRPr="00DE3226" w:rsidRDefault="00783C6A" w:rsidP="00005003">
            <w:r w:rsidRPr="00DE3226">
              <w:t>DEPARTMENT</w:t>
            </w:r>
          </w:p>
        </w:tc>
        <w:tc>
          <w:tcPr>
            <w:tcW w:w="4465" w:type="dxa"/>
          </w:tcPr>
          <w:p w14:paraId="74E18044" w14:textId="77777777" w:rsidR="00783C6A" w:rsidRPr="00DE3226" w:rsidRDefault="00783C6A" w:rsidP="00005003">
            <w:pPr>
              <w:rPr>
                <w:b/>
              </w:rPr>
            </w:pPr>
            <w:r w:rsidRPr="00DE3226">
              <w:t>COURSES TO BE INCLUDED</w:t>
            </w:r>
          </w:p>
        </w:tc>
        <w:tc>
          <w:tcPr>
            <w:tcW w:w="2340" w:type="dxa"/>
          </w:tcPr>
          <w:p w14:paraId="0A02B495" w14:textId="77777777" w:rsidR="00783C6A" w:rsidRPr="00DE3226" w:rsidRDefault="00783C6A" w:rsidP="00005003">
            <w:r w:rsidRPr="00DE3226">
              <w:t>CHAIR/PROGRAM DIRECTOR</w:t>
            </w:r>
          </w:p>
        </w:tc>
      </w:tr>
      <w:tr w:rsidR="00092BA3" w:rsidRPr="00DE3226" w14:paraId="6FAAE92D" w14:textId="77777777" w:rsidTr="00820353">
        <w:trPr>
          <w:trHeight w:val="323"/>
        </w:trPr>
        <w:tc>
          <w:tcPr>
            <w:tcW w:w="1830" w:type="dxa"/>
          </w:tcPr>
          <w:p w14:paraId="4C0146C6" w14:textId="77777777" w:rsidR="00092BA3" w:rsidRPr="00DE3226" w:rsidRDefault="00092BA3" w:rsidP="00092BA3"/>
          <w:p w14:paraId="6804F62A" w14:textId="12017A76" w:rsidR="00092BA3" w:rsidRPr="00DE3226" w:rsidRDefault="00092BA3" w:rsidP="00092BA3">
            <w:r w:rsidRPr="00DE3226">
              <w:t>English &amp; Theatre</w:t>
            </w:r>
            <w:r w:rsidR="00F14897">
              <w:t xml:space="preserve"> (3 credits)</w:t>
            </w:r>
          </w:p>
          <w:p w14:paraId="21649A1A" w14:textId="77777777" w:rsidR="00092BA3" w:rsidRPr="00DE3226" w:rsidRDefault="00092BA3" w:rsidP="00092BA3"/>
          <w:p w14:paraId="0F447846" w14:textId="77777777" w:rsidR="00092BA3" w:rsidRPr="00DE3226" w:rsidRDefault="00092BA3" w:rsidP="00092BA3"/>
        </w:tc>
        <w:tc>
          <w:tcPr>
            <w:tcW w:w="4465" w:type="dxa"/>
          </w:tcPr>
          <w:p w14:paraId="2B78A00D" w14:textId="77777777" w:rsidR="00092BA3" w:rsidRPr="00DE3226" w:rsidRDefault="00092BA3" w:rsidP="00092BA3">
            <w:pPr>
              <w:pStyle w:val="Default"/>
              <w:rPr>
                <w:rFonts w:ascii="Times New Roman" w:hAnsi="Times New Roman" w:cs="Times New Roman"/>
                <w:sz w:val="24"/>
                <w:szCs w:val="24"/>
                <w:u w:color="000000"/>
                <w:lang w:val="en-US"/>
              </w:rPr>
            </w:pPr>
          </w:p>
          <w:p w14:paraId="4DA0ECF0" w14:textId="6E8E24C0" w:rsidR="00092BA3" w:rsidRDefault="00092BA3" w:rsidP="00092BA3">
            <w:pPr>
              <w:pStyle w:val="Default"/>
              <w:rPr>
                <w:rFonts w:ascii="Times New Roman" w:hAnsi="Times New Roman" w:cs="Times New Roman"/>
                <w:sz w:val="24"/>
                <w:szCs w:val="24"/>
                <w:u w:color="000000"/>
                <w:lang w:val="en-US"/>
              </w:rPr>
            </w:pPr>
            <w:r w:rsidRPr="00DE3226">
              <w:rPr>
                <w:rFonts w:ascii="Times New Roman" w:hAnsi="Times New Roman" w:cs="Times New Roman"/>
                <w:sz w:val="24"/>
                <w:szCs w:val="24"/>
                <w:u w:color="000000"/>
                <w:lang w:val="en-US"/>
              </w:rPr>
              <w:t>ENLT 224: Perspectives in Literature about Illness</w:t>
            </w:r>
          </w:p>
          <w:p w14:paraId="50C6BC77" w14:textId="77777777" w:rsidR="00092BA3" w:rsidRPr="00DE3226" w:rsidRDefault="00092BA3" w:rsidP="001127F6">
            <w:pPr>
              <w:pStyle w:val="Default"/>
            </w:pPr>
          </w:p>
        </w:tc>
        <w:tc>
          <w:tcPr>
            <w:tcW w:w="2340" w:type="dxa"/>
          </w:tcPr>
          <w:p w14:paraId="7339136B" w14:textId="0EA4AB65" w:rsidR="00092BA3" w:rsidRPr="00DE3226" w:rsidRDefault="00092BA3" w:rsidP="00092BA3">
            <w:r w:rsidRPr="00DE3226">
              <w:t>Jo</w:t>
            </w:r>
            <w:r>
              <w:t>s</w:t>
            </w:r>
            <w:r w:rsidRPr="00DE3226">
              <w:t>e</w:t>
            </w:r>
            <w:r>
              <w:t>ph</w:t>
            </w:r>
            <w:r w:rsidRPr="00DE3226">
              <w:t xml:space="preserve"> Kraus, Ph.D.</w:t>
            </w:r>
          </w:p>
        </w:tc>
      </w:tr>
      <w:tr w:rsidR="00092BA3" w:rsidRPr="00DE3226" w14:paraId="48A2307F" w14:textId="77777777" w:rsidTr="00820353">
        <w:trPr>
          <w:trHeight w:val="323"/>
        </w:trPr>
        <w:tc>
          <w:tcPr>
            <w:tcW w:w="1830" w:type="dxa"/>
          </w:tcPr>
          <w:p w14:paraId="73434A10" w14:textId="77777777" w:rsidR="00092BA3" w:rsidRPr="00DE3226" w:rsidRDefault="00092BA3" w:rsidP="00092BA3"/>
          <w:p w14:paraId="777D4D2F" w14:textId="71748525" w:rsidR="00092BA3" w:rsidRPr="00DE3226" w:rsidRDefault="00092BA3" w:rsidP="00092BA3">
            <w:r w:rsidRPr="00DE3226">
              <w:t>World Languages &amp; Cultures</w:t>
            </w:r>
            <w:r w:rsidR="00F14897">
              <w:t xml:space="preserve"> (3 credits)</w:t>
            </w:r>
          </w:p>
          <w:p w14:paraId="1D06EA34" w14:textId="77777777" w:rsidR="00092BA3" w:rsidRPr="00DE3226" w:rsidRDefault="00092BA3" w:rsidP="00092BA3"/>
        </w:tc>
        <w:tc>
          <w:tcPr>
            <w:tcW w:w="4465" w:type="dxa"/>
          </w:tcPr>
          <w:p w14:paraId="2D53968C" w14:textId="77777777" w:rsidR="00092BA3" w:rsidRPr="00DE3226" w:rsidRDefault="00092BA3" w:rsidP="00092BA3"/>
          <w:p w14:paraId="7AC34189" w14:textId="06F868C6" w:rsidR="00092BA3" w:rsidRPr="00DE3226" w:rsidRDefault="00092BA3" w:rsidP="00092BA3">
            <w:r>
              <w:t xml:space="preserve">[Language requirement courses: </w:t>
            </w:r>
            <w:r w:rsidRPr="00DE3226">
              <w:t>101, 102, 211, 212, 311, 312 (which correspond to levels elementary, intermediate, and advanced in all languages).</w:t>
            </w:r>
            <w:r>
              <w:t>]</w:t>
            </w:r>
          </w:p>
          <w:p w14:paraId="68569A39" w14:textId="77777777" w:rsidR="00092BA3" w:rsidRPr="00DE3226" w:rsidRDefault="00092BA3" w:rsidP="00F14897"/>
        </w:tc>
        <w:tc>
          <w:tcPr>
            <w:tcW w:w="2340" w:type="dxa"/>
          </w:tcPr>
          <w:p w14:paraId="5D676F6C" w14:textId="77777777" w:rsidR="00092BA3" w:rsidRPr="00DE3226" w:rsidRDefault="00092BA3" w:rsidP="00092BA3">
            <w:proofErr w:type="spellStart"/>
            <w:r w:rsidRPr="00DE3226">
              <w:t>Yamile</w:t>
            </w:r>
            <w:proofErr w:type="spellEnd"/>
            <w:r w:rsidRPr="00DE3226">
              <w:t xml:space="preserve"> Silva, Ph.D.</w:t>
            </w:r>
          </w:p>
        </w:tc>
      </w:tr>
    </w:tbl>
    <w:p w14:paraId="1A7B0962" w14:textId="4F75886E" w:rsidR="00AC5865" w:rsidRDefault="00AC5865" w:rsidP="00783C6A">
      <w:pPr>
        <w:rPr>
          <w:b/>
        </w:rPr>
      </w:pPr>
    </w:p>
    <w:p w14:paraId="0053F2EF" w14:textId="77777777" w:rsidR="001127F6" w:rsidRDefault="001127F6" w:rsidP="00783C6A">
      <w:pPr>
        <w:rPr>
          <w:b/>
        </w:rPr>
      </w:pPr>
    </w:p>
    <w:p w14:paraId="7AC63BEA" w14:textId="77777777" w:rsidR="001127F6" w:rsidRDefault="001127F6" w:rsidP="00783C6A">
      <w:pPr>
        <w:rPr>
          <w:b/>
        </w:rPr>
      </w:pPr>
    </w:p>
    <w:p w14:paraId="64161469" w14:textId="77777777" w:rsidR="001127F6" w:rsidRDefault="001127F6" w:rsidP="00783C6A">
      <w:pPr>
        <w:rPr>
          <w:b/>
        </w:rPr>
      </w:pPr>
    </w:p>
    <w:p w14:paraId="05361766" w14:textId="77777777" w:rsidR="001127F6" w:rsidRDefault="001127F6" w:rsidP="00783C6A">
      <w:pPr>
        <w:rPr>
          <w:b/>
        </w:rPr>
      </w:pPr>
    </w:p>
    <w:p w14:paraId="6AFFB40F" w14:textId="3E19F76E" w:rsidR="00F14897" w:rsidRPr="00F14897" w:rsidRDefault="00F14897" w:rsidP="00783C6A">
      <w:pPr>
        <w:rPr>
          <w:b/>
        </w:rPr>
      </w:pPr>
      <w:r w:rsidRPr="00F14897">
        <w:rPr>
          <w:b/>
        </w:rPr>
        <w:lastRenderedPageBreak/>
        <w:t>HUMANITIES ELECTIVES</w:t>
      </w:r>
    </w:p>
    <w:p w14:paraId="394EFE22" w14:textId="267842AF" w:rsidR="00F14897" w:rsidRDefault="00F14897" w:rsidP="00783C6A">
      <w:pPr>
        <w:rPr>
          <w:bCs/>
        </w:rPr>
      </w:pPr>
    </w:p>
    <w:tbl>
      <w:tblPr>
        <w:tblStyle w:val="TableGrid"/>
        <w:tblW w:w="8635" w:type="dxa"/>
        <w:tblLook w:val="04A0" w:firstRow="1" w:lastRow="0" w:firstColumn="1" w:lastColumn="0" w:noHBand="0" w:noVBand="1"/>
      </w:tblPr>
      <w:tblGrid>
        <w:gridCol w:w="1830"/>
        <w:gridCol w:w="4465"/>
        <w:gridCol w:w="2340"/>
      </w:tblGrid>
      <w:tr w:rsidR="00F14897" w:rsidRPr="00DE3226" w14:paraId="3CD921DD" w14:textId="77777777" w:rsidTr="00632B77">
        <w:tc>
          <w:tcPr>
            <w:tcW w:w="1830" w:type="dxa"/>
          </w:tcPr>
          <w:p w14:paraId="60435564" w14:textId="77777777" w:rsidR="00F14897" w:rsidRPr="00DE3226" w:rsidRDefault="00F14897" w:rsidP="00F14897"/>
          <w:p w14:paraId="122FC2EF" w14:textId="5A566E79" w:rsidR="00F14897" w:rsidRPr="00DE3226" w:rsidRDefault="00F14897" w:rsidP="00F14897">
            <w:r w:rsidRPr="00DE3226">
              <w:t>English &amp; Theatre</w:t>
            </w:r>
            <w:r>
              <w:t xml:space="preserve"> </w:t>
            </w:r>
          </w:p>
          <w:p w14:paraId="4D5609FD" w14:textId="77777777" w:rsidR="00F14897" w:rsidRPr="00DE3226" w:rsidRDefault="00F14897" w:rsidP="00F14897"/>
          <w:p w14:paraId="4ED46800" w14:textId="77777777" w:rsidR="00F14897" w:rsidRPr="00DE3226" w:rsidRDefault="00F14897" w:rsidP="00F14897"/>
        </w:tc>
        <w:tc>
          <w:tcPr>
            <w:tcW w:w="4465" w:type="dxa"/>
          </w:tcPr>
          <w:p w14:paraId="78CA0D77" w14:textId="77777777" w:rsidR="00F14897" w:rsidRPr="00DE3226" w:rsidRDefault="00F14897" w:rsidP="00F14897">
            <w:pPr>
              <w:pStyle w:val="Default"/>
              <w:rPr>
                <w:rFonts w:ascii="Times New Roman" w:hAnsi="Times New Roman" w:cs="Times New Roman"/>
                <w:sz w:val="24"/>
                <w:szCs w:val="24"/>
                <w:u w:color="000000"/>
                <w:lang w:val="en-US"/>
              </w:rPr>
            </w:pPr>
          </w:p>
          <w:p w14:paraId="0F000413" w14:textId="6873353F" w:rsidR="00F14897" w:rsidRPr="00DE3226" w:rsidRDefault="00F14897" w:rsidP="00F14897">
            <w:pPr>
              <w:pStyle w:val="Default"/>
              <w:rPr>
                <w:rFonts w:ascii="Times New Roman" w:eastAsia="Times New Roman" w:hAnsi="Times New Roman" w:cs="Times New Roman"/>
                <w:sz w:val="24"/>
                <w:szCs w:val="24"/>
                <w:u w:color="000000"/>
                <w:lang w:val="en-US"/>
              </w:rPr>
            </w:pPr>
            <w:r w:rsidRPr="00DE3226">
              <w:rPr>
                <w:rFonts w:ascii="Times New Roman" w:hAnsi="Times New Roman" w:cs="Times New Roman"/>
                <w:sz w:val="24"/>
                <w:szCs w:val="24"/>
                <w:u w:color="000000"/>
                <w:lang w:val="en-US"/>
              </w:rPr>
              <w:t>ENL</w:t>
            </w:r>
            <w:r>
              <w:rPr>
                <w:rFonts w:ascii="Times New Roman" w:hAnsi="Times New Roman" w:cs="Times New Roman"/>
                <w:sz w:val="24"/>
                <w:szCs w:val="24"/>
                <w:u w:color="000000"/>
                <w:lang w:val="en-US"/>
              </w:rPr>
              <w:t>T</w:t>
            </w:r>
            <w:r w:rsidRPr="00DE3226">
              <w:rPr>
                <w:rFonts w:ascii="Times New Roman" w:hAnsi="Times New Roman" w:cs="Times New Roman"/>
                <w:sz w:val="24"/>
                <w:szCs w:val="24"/>
                <w:u w:color="000000"/>
                <w:lang w:val="en-US"/>
              </w:rPr>
              <w:t xml:space="preserve"> 254: Bodybuilding: Narratives of Health and Ability</w:t>
            </w:r>
          </w:p>
          <w:p w14:paraId="45A696C0" w14:textId="77777777" w:rsidR="00F14897" w:rsidRPr="00DE3226" w:rsidRDefault="00F14897" w:rsidP="00F14897">
            <w:pPr>
              <w:pStyle w:val="Default"/>
              <w:rPr>
                <w:rFonts w:ascii="Times New Roman" w:hAnsi="Times New Roman" w:cs="Times New Roman"/>
                <w:sz w:val="24"/>
                <w:szCs w:val="24"/>
                <w:u w:color="000000"/>
                <w:lang w:val="en-US"/>
              </w:rPr>
            </w:pPr>
          </w:p>
        </w:tc>
        <w:tc>
          <w:tcPr>
            <w:tcW w:w="2340" w:type="dxa"/>
          </w:tcPr>
          <w:p w14:paraId="22F219EB" w14:textId="0EA8FD76" w:rsidR="00F14897" w:rsidRPr="00DE3226" w:rsidRDefault="00F14897" w:rsidP="00F14897">
            <w:r w:rsidRPr="00DE3226">
              <w:t>Jo</w:t>
            </w:r>
            <w:r>
              <w:t>s</w:t>
            </w:r>
            <w:r w:rsidRPr="00DE3226">
              <w:t>e</w:t>
            </w:r>
            <w:r>
              <w:t>ph</w:t>
            </w:r>
            <w:r w:rsidRPr="00DE3226">
              <w:t xml:space="preserve"> Kraus, Ph.D.</w:t>
            </w:r>
          </w:p>
        </w:tc>
      </w:tr>
      <w:tr w:rsidR="00F14897" w:rsidRPr="00DE3226" w14:paraId="061FC0A6" w14:textId="77777777" w:rsidTr="00632B77">
        <w:tc>
          <w:tcPr>
            <w:tcW w:w="1830" w:type="dxa"/>
          </w:tcPr>
          <w:p w14:paraId="04103FF5" w14:textId="77777777" w:rsidR="00F14897" w:rsidRPr="00DE3226" w:rsidRDefault="00F14897" w:rsidP="00F14897"/>
          <w:p w14:paraId="7E72544B" w14:textId="26CE9192" w:rsidR="00F14897" w:rsidRPr="00DE3226" w:rsidRDefault="00F14897" w:rsidP="00F14897">
            <w:r w:rsidRPr="00DE3226">
              <w:t>World Languages &amp; Cultures</w:t>
            </w:r>
          </w:p>
          <w:p w14:paraId="199C049F" w14:textId="77777777" w:rsidR="00F14897" w:rsidRPr="00DE3226" w:rsidRDefault="00F14897" w:rsidP="00F14897"/>
        </w:tc>
        <w:tc>
          <w:tcPr>
            <w:tcW w:w="4465" w:type="dxa"/>
          </w:tcPr>
          <w:p w14:paraId="6993D592" w14:textId="77777777" w:rsidR="00F14897" w:rsidRPr="00DE3226" w:rsidRDefault="00F14897" w:rsidP="00F14897"/>
          <w:p w14:paraId="17251C97" w14:textId="77777777" w:rsidR="00F14897" w:rsidRPr="00DE3226" w:rsidRDefault="00F14897" w:rsidP="00F14897">
            <w:r w:rsidRPr="00DE3226">
              <w:t xml:space="preserve">SPAN 324: </w:t>
            </w:r>
            <w:r>
              <w:t xml:space="preserve">Latin American </w:t>
            </w:r>
            <w:r w:rsidRPr="00DE3226">
              <w:t>Fictions of the Body</w:t>
            </w:r>
          </w:p>
          <w:p w14:paraId="05C694DE" w14:textId="77777777" w:rsidR="00F14897" w:rsidRPr="00DE3226" w:rsidRDefault="00F14897" w:rsidP="00F14897">
            <w:r w:rsidRPr="00DE3226">
              <w:t>SPAN 315: Spanish for the Health Professions</w:t>
            </w:r>
          </w:p>
          <w:p w14:paraId="2E49AB1E" w14:textId="77777777" w:rsidR="00F14897" w:rsidRPr="00DE3226" w:rsidRDefault="00F14897" w:rsidP="00F14897">
            <w:r w:rsidRPr="00DE3226">
              <w:t>SPAN 335: Service and the Hispanic Community</w:t>
            </w:r>
          </w:p>
          <w:p w14:paraId="36598997" w14:textId="0318CD97" w:rsidR="00F14897" w:rsidRPr="00DE3226" w:rsidRDefault="00F14897" w:rsidP="00F14897">
            <w:pPr>
              <w:pStyle w:val="Default"/>
              <w:rPr>
                <w:rFonts w:ascii="Times New Roman" w:hAnsi="Times New Roman" w:cs="Times New Roman"/>
                <w:sz w:val="24"/>
                <w:szCs w:val="24"/>
                <w:u w:color="000000"/>
                <w:lang w:val="en-US"/>
              </w:rPr>
            </w:pPr>
          </w:p>
        </w:tc>
        <w:tc>
          <w:tcPr>
            <w:tcW w:w="2340" w:type="dxa"/>
          </w:tcPr>
          <w:p w14:paraId="374250BA" w14:textId="510CFCD1" w:rsidR="00F14897" w:rsidRPr="00DE3226" w:rsidRDefault="00F14897" w:rsidP="00F14897">
            <w:proofErr w:type="spellStart"/>
            <w:r w:rsidRPr="00DE3226">
              <w:t>Yamile</w:t>
            </w:r>
            <w:proofErr w:type="spellEnd"/>
            <w:r w:rsidRPr="00DE3226">
              <w:t xml:space="preserve"> Silva, Ph.D.</w:t>
            </w:r>
          </w:p>
        </w:tc>
      </w:tr>
      <w:tr w:rsidR="00F14897" w:rsidRPr="00DE3226" w14:paraId="45228CA3" w14:textId="77777777" w:rsidTr="00632B77">
        <w:tc>
          <w:tcPr>
            <w:tcW w:w="1830" w:type="dxa"/>
          </w:tcPr>
          <w:p w14:paraId="0B2E41F3" w14:textId="77777777" w:rsidR="00F14897" w:rsidRPr="00DE3226" w:rsidRDefault="00F14897" w:rsidP="00F14897"/>
          <w:p w14:paraId="08A4D01D" w14:textId="77777777" w:rsidR="00F14897" w:rsidRPr="00DE3226" w:rsidRDefault="00F14897" w:rsidP="00F14897">
            <w:r w:rsidRPr="00DE3226">
              <w:t>Theology &amp; Religious Studies</w:t>
            </w:r>
          </w:p>
          <w:p w14:paraId="35D08AEE" w14:textId="77777777" w:rsidR="00F14897" w:rsidRPr="00DE3226" w:rsidRDefault="00F14897" w:rsidP="00F14897"/>
        </w:tc>
        <w:tc>
          <w:tcPr>
            <w:tcW w:w="4465" w:type="dxa"/>
          </w:tcPr>
          <w:p w14:paraId="1C6E8E40" w14:textId="77777777" w:rsidR="00F14897" w:rsidRPr="00DE3226" w:rsidRDefault="00F14897" w:rsidP="00F14897"/>
          <w:p w14:paraId="5853F328" w14:textId="77777777" w:rsidR="00F14897" w:rsidRPr="00DE3226" w:rsidRDefault="00F14897" w:rsidP="00F14897">
            <w:pPr>
              <w:pStyle w:val="Default"/>
              <w:rPr>
                <w:rFonts w:ascii="Times New Roman" w:eastAsia="Times New Roman" w:hAnsi="Times New Roman" w:cs="Times New Roman"/>
                <w:sz w:val="24"/>
                <w:szCs w:val="24"/>
                <w:u w:color="000000"/>
                <w:lang w:val="en-US"/>
              </w:rPr>
            </w:pPr>
            <w:r w:rsidRPr="00DE3226">
              <w:rPr>
                <w:rFonts w:ascii="Times New Roman" w:hAnsi="Times New Roman" w:cs="Times New Roman"/>
                <w:sz w:val="24"/>
                <w:szCs w:val="24"/>
                <w:u w:color="000000"/>
                <w:lang w:val="en-US"/>
              </w:rPr>
              <w:t>T/RS 226: Faith and Healing: God and Contemporary Medicine</w:t>
            </w:r>
          </w:p>
          <w:p w14:paraId="27A4316E" w14:textId="77777777" w:rsidR="00F14897" w:rsidRDefault="00F14897" w:rsidP="00F14897">
            <w:pPr>
              <w:rPr>
                <w:color w:val="000000"/>
                <w:shd w:val="clear" w:color="auto" w:fill="FFFFFF"/>
              </w:rPr>
            </w:pPr>
            <w:r w:rsidRPr="00DE3226">
              <w:rPr>
                <w:color w:val="000000"/>
                <w:shd w:val="clear" w:color="auto" w:fill="FFFFFF"/>
              </w:rPr>
              <w:t>T/RS 246: Religion, Body, &amp; the Brain</w:t>
            </w:r>
          </w:p>
          <w:p w14:paraId="61091204" w14:textId="77777777" w:rsidR="00F14897" w:rsidRDefault="00F14897" w:rsidP="00F14897">
            <w:pPr>
              <w:rPr>
                <w:color w:val="000000"/>
                <w:shd w:val="clear" w:color="auto" w:fill="FFFFFF"/>
              </w:rPr>
            </w:pPr>
            <w:r>
              <w:rPr>
                <w:color w:val="000000"/>
                <w:shd w:val="clear" w:color="auto" w:fill="FFFFFF"/>
              </w:rPr>
              <w:t>T/RS 295: Christianity in Africa</w:t>
            </w:r>
          </w:p>
          <w:p w14:paraId="3405011D" w14:textId="77777777" w:rsidR="00F14897" w:rsidRDefault="00F14897" w:rsidP="00F14897">
            <w:pPr>
              <w:rPr>
                <w:color w:val="000000"/>
                <w:shd w:val="clear" w:color="auto" w:fill="FFFFFF"/>
              </w:rPr>
            </w:pPr>
            <w:r>
              <w:rPr>
                <w:color w:val="000000"/>
                <w:shd w:val="clear" w:color="auto" w:fill="FFFFFF"/>
              </w:rPr>
              <w:t>T/RS 332: Theology &amp; Disability</w:t>
            </w:r>
          </w:p>
          <w:p w14:paraId="3F089153" w14:textId="77777777" w:rsidR="00F14897" w:rsidRPr="00DE3226" w:rsidRDefault="00F14897" w:rsidP="00F14897">
            <w:pPr>
              <w:rPr>
                <w:color w:val="000000"/>
                <w:shd w:val="clear" w:color="auto" w:fill="FFFFFF"/>
              </w:rPr>
            </w:pPr>
            <w:r>
              <w:rPr>
                <w:color w:val="000000"/>
                <w:shd w:val="clear" w:color="auto" w:fill="FFFFFF"/>
              </w:rPr>
              <w:t>T/RS 340: Theologies of Work &amp; Rest</w:t>
            </w:r>
          </w:p>
          <w:p w14:paraId="46BBE42F" w14:textId="77777777" w:rsidR="00F14897" w:rsidRPr="00DE3226" w:rsidRDefault="00F14897" w:rsidP="00F14897"/>
        </w:tc>
        <w:tc>
          <w:tcPr>
            <w:tcW w:w="2340" w:type="dxa"/>
          </w:tcPr>
          <w:p w14:paraId="312DC068" w14:textId="77777777" w:rsidR="00F14897" w:rsidRPr="00DE3226" w:rsidRDefault="00F14897" w:rsidP="00F14897"/>
          <w:p w14:paraId="433B2DBF" w14:textId="77777777" w:rsidR="00F14897" w:rsidRPr="00DE3226" w:rsidRDefault="00F14897" w:rsidP="00F14897"/>
          <w:p w14:paraId="5056DBAB" w14:textId="77777777" w:rsidR="00F14897" w:rsidRPr="00DE3226" w:rsidRDefault="00F14897" w:rsidP="00F14897"/>
          <w:p w14:paraId="2F35FC73" w14:textId="77777777" w:rsidR="00F14897" w:rsidRPr="00DE3226" w:rsidRDefault="00F14897" w:rsidP="00F14897">
            <w:r w:rsidRPr="00DE3226">
              <w:t xml:space="preserve">Christian </w:t>
            </w:r>
            <w:proofErr w:type="spellStart"/>
            <w:r w:rsidRPr="00DE3226">
              <w:t>Krokus</w:t>
            </w:r>
            <w:proofErr w:type="spellEnd"/>
            <w:r w:rsidRPr="00DE3226">
              <w:t>, Ph.D.</w:t>
            </w:r>
          </w:p>
        </w:tc>
      </w:tr>
      <w:tr w:rsidR="007A1C0C" w:rsidRPr="00DE3226" w14:paraId="146FA40F" w14:textId="77777777" w:rsidTr="00632B77">
        <w:tc>
          <w:tcPr>
            <w:tcW w:w="1830" w:type="dxa"/>
          </w:tcPr>
          <w:p w14:paraId="613C0ACA" w14:textId="77777777" w:rsidR="007A1C0C" w:rsidRPr="00DE3226" w:rsidRDefault="007A1C0C" w:rsidP="007A1C0C"/>
          <w:p w14:paraId="5776CE42" w14:textId="77777777" w:rsidR="007A1C0C" w:rsidRPr="00DE3226" w:rsidRDefault="007A1C0C" w:rsidP="007A1C0C">
            <w:r w:rsidRPr="00DE3226">
              <w:t>Philosophy</w:t>
            </w:r>
          </w:p>
          <w:p w14:paraId="03D3A2E1" w14:textId="77777777" w:rsidR="007A1C0C" w:rsidRPr="00DE3226" w:rsidRDefault="007A1C0C" w:rsidP="007A1C0C"/>
          <w:p w14:paraId="691C509A" w14:textId="77777777" w:rsidR="007A1C0C" w:rsidRPr="00DE3226" w:rsidRDefault="007A1C0C" w:rsidP="007A1C0C"/>
          <w:p w14:paraId="6B25C557" w14:textId="77777777" w:rsidR="007A1C0C" w:rsidRPr="00DE3226" w:rsidRDefault="007A1C0C" w:rsidP="007A1C0C"/>
        </w:tc>
        <w:tc>
          <w:tcPr>
            <w:tcW w:w="4465" w:type="dxa"/>
          </w:tcPr>
          <w:p w14:paraId="7E4D0CFE" w14:textId="77777777" w:rsidR="007A1C0C" w:rsidRPr="00DE3226" w:rsidRDefault="007A1C0C" w:rsidP="007A1C0C">
            <w:pPr>
              <w:pStyle w:val="Default"/>
              <w:rPr>
                <w:rFonts w:ascii="Times New Roman" w:hAnsi="Times New Roman" w:cs="Times New Roman"/>
                <w:sz w:val="24"/>
                <w:szCs w:val="24"/>
                <w:u w:color="000000"/>
                <w:lang w:val="en-US"/>
              </w:rPr>
            </w:pPr>
          </w:p>
          <w:p w14:paraId="6CF85F70" w14:textId="77777777" w:rsidR="007A1C0C" w:rsidRPr="00DE3226" w:rsidRDefault="007A1C0C" w:rsidP="007A1C0C">
            <w:pPr>
              <w:pStyle w:val="Default"/>
              <w:rPr>
                <w:rFonts w:ascii="Times New Roman" w:hAnsi="Times New Roman" w:cs="Times New Roman"/>
                <w:sz w:val="24"/>
                <w:szCs w:val="24"/>
                <w:u w:color="000000"/>
                <w:lang w:val="en-US"/>
              </w:rPr>
            </w:pPr>
            <w:r w:rsidRPr="00DE3226">
              <w:rPr>
                <w:rFonts w:ascii="Times New Roman" w:hAnsi="Times New Roman" w:cs="Times New Roman"/>
                <w:sz w:val="24"/>
                <w:szCs w:val="24"/>
                <w:u w:color="000000"/>
                <w:lang w:val="en-US"/>
              </w:rPr>
              <w:t>PHIL 212: Medical Ethics</w:t>
            </w:r>
          </w:p>
          <w:p w14:paraId="2310890D" w14:textId="0F722C93" w:rsidR="007A1C0C" w:rsidRPr="00DE3226" w:rsidRDefault="007A1C0C" w:rsidP="007A1C0C">
            <w:r w:rsidRPr="00DE3226">
              <w:rPr>
                <w:u w:color="000000"/>
              </w:rPr>
              <w:t>PHIL 337: The Art of Living</w:t>
            </w:r>
          </w:p>
        </w:tc>
        <w:tc>
          <w:tcPr>
            <w:tcW w:w="2340" w:type="dxa"/>
          </w:tcPr>
          <w:p w14:paraId="2A24B1A2" w14:textId="77777777" w:rsidR="007A1C0C" w:rsidRPr="00DE3226" w:rsidRDefault="007A1C0C" w:rsidP="007A1C0C"/>
          <w:p w14:paraId="4C6687AC" w14:textId="5CBF7076" w:rsidR="007A1C0C" w:rsidRPr="00DE3226" w:rsidRDefault="007A1C0C" w:rsidP="007A1C0C">
            <w:r w:rsidRPr="00DE3226">
              <w:t>Daniel Haggerty, Ph.D.</w:t>
            </w:r>
            <w:r>
              <w:t xml:space="preserve"> (c/o Patrick Tully, Ph.D. in spring 2020)</w:t>
            </w:r>
          </w:p>
        </w:tc>
      </w:tr>
      <w:tr w:rsidR="00F14897" w:rsidRPr="00DE3226" w14:paraId="4D826166" w14:textId="77777777" w:rsidTr="00632B77">
        <w:trPr>
          <w:trHeight w:val="521"/>
        </w:trPr>
        <w:tc>
          <w:tcPr>
            <w:tcW w:w="1830" w:type="dxa"/>
          </w:tcPr>
          <w:p w14:paraId="597A2048" w14:textId="77777777" w:rsidR="00F14897" w:rsidRPr="00DE3226" w:rsidRDefault="00F14897" w:rsidP="00F14897"/>
          <w:p w14:paraId="3D35468B" w14:textId="77777777" w:rsidR="00F14897" w:rsidRPr="00DE3226" w:rsidRDefault="00F14897" w:rsidP="00F14897">
            <w:r w:rsidRPr="00DE3226">
              <w:t>Latin American Studies</w:t>
            </w:r>
          </w:p>
        </w:tc>
        <w:tc>
          <w:tcPr>
            <w:tcW w:w="4465" w:type="dxa"/>
          </w:tcPr>
          <w:p w14:paraId="3FE01AE9" w14:textId="77777777" w:rsidR="00F14897" w:rsidRPr="00DE3226" w:rsidRDefault="00F14897" w:rsidP="00F14897"/>
          <w:p w14:paraId="13754360" w14:textId="77777777" w:rsidR="00F14897" w:rsidRPr="00DE3226" w:rsidRDefault="00F14897" w:rsidP="00F14897">
            <w:r w:rsidRPr="00DE3226">
              <w:t>LAS195: Perspectives of Health, Healthcare, and Well-being in Latin America</w:t>
            </w:r>
          </w:p>
          <w:p w14:paraId="14A66E7A" w14:textId="77777777" w:rsidR="00F14897" w:rsidRPr="00DE3226" w:rsidRDefault="00F14897" w:rsidP="00F14897"/>
        </w:tc>
        <w:tc>
          <w:tcPr>
            <w:tcW w:w="2340" w:type="dxa"/>
          </w:tcPr>
          <w:p w14:paraId="4FE9056D" w14:textId="77777777" w:rsidR="00F14897" w:rsidRPr="00DE3226" w:rsidRDefault="00F14897" w:rsidP="00F14897"/>
          <w:p w14:paraId="39820EE6" w14:textId="77777777" w:rsidR="00F14897" w:rsidRPr="00DE3226" w:rsidRDefault="00F14897" w:rsidP="00F14897">
            <w:r w:rsidRPr="00DE3226">
              <w:t>Susan Méndez, Ph.D</w:t>
            </w:r>
            <w:r>
              <w:t>.</w:t>
            </w:r>
          </w:p>
        </w:tc>
      </w:tr>
      <w:tr w:rsidR="00F14897" w:rsidRPr="00DE3226" w14:paraId="2EB4F0FF" w14:textId="77777777" w:rsidTr="00632B77">
        <w:trPr>
          <w:trHeight w:val="521"/>
        </w:trPr>
        <w:tc>
          <w:tcPr>
            <w:tcW w:w="1830" w:type="dxa"/>
          </w:tcPr>
          <w:p w14:paraId="1DDF69B6" w14:textId="77777777" w:rsidR="00F14897" w:rsidRPr="00DE3226" w:rsidRDefault="00F14897" w:rsidP="00F14897">
            <w:r w:rsidRPr="00DE3226">
              <w:t>Counseling and Human Services</w:t>
            </w:r>
          </w:p>
          <w:p w14:paraId="1EE734ED" w14:textId="77777777" w:rsidR="00F14897" w:rsidRPr="00DE3226" w:rsidRDefault="00F14897" w:rsidP="00F14897"/>
        </w:tc>
        <w:tc>
          <w:tcPr>
            <w:tcW w:w="4465" w:type="dxa"/>
          </w:tcPr>
          <w:p w14:paraId="26E6185A" w14:textId="77777777" w:rsidR="00F14897" w:rsidRPr="00DE3226" w:rsidRDefault="00F14897" w:rsidP="00F14897">
            <w:r>
              <w:t>CHS 330: Introduction to Art Therapy</w:t>
            </w:r>
          </w:p>
        </w:tc>
        <w:tc>
          <w:tcPr>
            <w:tcW w:w="2340" w:type="dxa"/>
          </w:tcPr>
          <w:p w14:paraId="64410DA2" w14:textId="77777777" w:rsidR="00F14897" w:rsidRPr="00DE3226" w:rsidRDefault="00F14897" w:rsidP="00F14897">
            <w:r w:rsidRPr="00DE3226">
              <w:t>Lori A</w:t>
            </w:r>
            <w:r>
              <w:t>.</w:t>
            </w:r>
            <w:r w:rsidRPr="00DE3226">
              <w:t xml:space="preserve"> Bruch, Ed.D., CRC, LPC</w:t>
            </w:r>
          </w:p>
        </w:tc>
      </w:tr>
    </w:tbl>
    <w:p w14:paraId="6EA2EF5D" w14:textId="77777777" w:rsidR="00F14897" w:rsidRPr="00F14897" w:rsidRDefault="00F14897" w:rsidP="00783C6A">
      <w:pPr>
        <w:rPr>
          <w:bCs/>
        </w:rPr>
      </w:pPr>
    </w:p>
    <w:p w14:paraId="44F2260B" w14:textId="77777777" w:rsidR="00F14897" w:rsidRDefault="00F14897" w:rsidP="00783C6A">
      <w:pPr>
        <w:rPr>
          <w:b/>
        </w:rPr>
      </w:pPr>
    </w:p>
    <w:p w14:paraId="6D3E43C9" w14:textId="36317819" w:rsidR="00783C6A" w:rsidRDefault="00F14897" w:rsidP="00783C6A">
      <w:pPr>
        <w:rPr>
          <w:b/>
        </w:rPr>
      </w:pPr>
      <w:r>
        <w:rPr>
          <w:b/>
        </w:rPr>
        <w:t>HEALTH ELECTIVES</w:t>
      </w:r>
    </w:p>
    <w:p w14:paraId="22D92EC0" w14:textId="77777777" w:rsidR="00F14897" w:rsidRPr="00DE3226" w:rsidRDefault="00F14897" w:rsidP="00783C6A"/>
    <w:tbl>
      <w:tblPr>
        <w:tblStyle w:val="TableGrid"/>
        <w:tblW w:w="0" w:type="auto"/>
        <w:tblLook w:val="04A0" w:firstRow="1" w:lastRow="0" w:firstColumn="1" w:lastColumn="0" w:noHBand="0" w:noVBand="1"/>
      </w:tblPr>
      <w:tblGrid>
        <w:gridCol w:w="2017"/>
        <w:gridCol w:w="4278"/>
        <w:gridCol w:w="2430"/>
      </w:tblGrid>
      <w:tr w:rsidR="00783C6A" w:rsidRPr="00DE3226" w14:paraId="6A10705C" w14:textId="77777777" w:rsidTr="00820353">
        <w:tc>
          <w:tcPr>
            <w:tcW w:w="2017" w:type="dxa"/>
          </w:tcPr>
          <w:p w14:paraId="16AB48CF" w14:textId="77777777" w:rsidR="00783C6A" w:rsidRPr="00DE3226" w:rsidRDefault="00783C6A" w:rsidP="00005003">
            <w:r w:rsidRPr="00DE3226">
              <w:t>DEPARTMENT</w:t>
            </w:r>
          </w:p>
        </w:tc>
        <w:tc>
          <w:tcPr>
            <w:tcW w:w="4278" w:type="dxa"/>
          </w:tcPr>
          <w:p w14:paraId="4414F5E1" w14:textId="77777777" w:rsidR="00783C6A" w:rsidRPr="00DE3226" w:rsidRDefault="00783C6A" w:rsidP="00005003">
            <w:r w:rsidRPr="00DE3226">
              <w:t>COURSES TO BE INCLUDED</w:t>
            </w:r>
          </w:p>
        </w:tc>
        <w:tc>
          <w:tcPr>
            <w:tcW w:w="2430" w:type="dxa"/>
          </w:tcPr>
          <w:p w14:paraId="732999EB" w14:textId="77777777" w:rsidR="00783C6A" w:rsidRPr="00DE3226" w:rsidRDefault="00783C6A" w:rsidP="00005003">
            <w:r w:rsidRPr="00DE3226">
              <w:t>CHAIR/DIRECTOR</w:t>
            </w:r>
          </w:p>
        </w:tc>
      </w:tr>
      <w:tr w:rsidR="00783C6A" w:rsidRPr="00DE3226" w14:paraId="45474387" w14:textId="77777777" w:rsidTr="00820353">
        <w:tc>
          <w:tcPr>
            <w:tcW w:w="2017" w:type="dxa"/>
          </w:tcPr>
          <w:p w14:paraId="13B36C5D" w14:textId="77777777" w:rsidR="00783C6A" w:rsidRPr="00DE3226" w:rsidRDefault="00783C6A" w:rsidP="00005003">
            <w:pPr>
              <w:rPr>
                <w:b/>
              </w:rPr>
            </w:pPr>
          </w:p>
          <w:p w14:paraId="6550F7B0" w14:textId="77777777" w:rsidR="00783C6A" w:rsidRPr="00DE3226" w:rsidRDefault="00783C6A" w:rsidP="00005003">
            <w:pPr>
              <w:rPr>
                <w:b/>
              </w:rPr>
            </w:pPr>
          </w:p>
          <w:p w14:paraId="6E3AF4D9" w14:textId="77777777" w:rsidR="00783C6A" w:rsidRPr="00DE3226" w:rsidRDefault="00783C6A" w:rsidP="00005003">
            <w:r w:rsidRPr="00DE3226">
              <w:t>Counseling and Human Services</w:t>
            </w:r>
          </w:p>
          <w:p w14:paraId="66D027D5" w14:textId="77777777" w:rsidR="00783C6A" w:rsidRPr="00DE3226" w:rsidRDefault="00783C6A" w:rsidP="00005003">
            <w:pPr>
              <w:rPr>
                <w:b/>
              </w:rPr>
            </w:pPr>
          </w:p>
        </w:tc>
        <w:tc>
          <w:tcPr>
            <w:tcW w:w="4278" w:type="dxa"/>
          </w:tcPr>
          <w:p w14:paraId="23E3AB90" w14:textId="77777777" w:rsidR="00783C6A" w:rsidRPr="00DE3226" w:rsidRDefault="00783C6A" w:rsidP="00005003">
            <w:pPr>
              <w:pStyle w:val="Default"/>
              <w:rPr>
                <w:rFonts w:ascii="Times New Roman" w:eastAsia="Times New Roman" w:hAnsi="Times New Roman" w:cs="Times New Roman"/>
                <w:sz w:val="24"/>
                <w:szCs w:val="24"/>
                <w:u w:color="000000"/>
                <w:lang w:val="en-US"/>
              </w:rPr>
            </w:pPr>
            <w:r w:rsidRPr="00DE3226">
              <w:rPr>
                <w:rFonts w:ascii="Times New Roman" w:hAnsi="Times New Roman" w:cs="Times New Roman"/>
                <w:sz w:val="24"/>
                <w:szCs w:val="24"/>
                <w:u w:color="000000"/>
                <w:lang w:val="en-US"/>
              </w:rPr>
              <w:t xml:space="preserve">CHS 333: Multiculturalism in Counseling and Human Services </w:t>
            </w:r>
          </w:p>
          <w:p w14:paraId="7039776B" w14:textId="77777777" w:rsidR="00783C6A" w:rsidRPr="00DE3226" w:rsidRDefault="00783C6A" w:rsidP="00005003">
            <w:pPr>
              <w:pStyle w:val="Default"/>
              <w:rPr>
                <w:rFonts w:ascii="Times New Roman" w:hAnsi="Times New Roman" w:cs="Times New Roman"/>
                <w:sz w:val="24"/>
                <w:szCs w:val="24"/>
                <w:u w:color="000000"/>
                <w:lang w:val="en-US"/>
              </w:rPr>
            </w:pPr>
            <w:r w:rsidRPr="00DE3226">
              <w:rPr>
                <w:rFonts w:ascii="Times New Roman" w:hAnsi="Times New Roman" w:cs="Times New Roman"/>
                <w:sz w:val="24"/>
                <w:szCs w:val="24"/>
                <w:u w:color="000000"/>
                <w:lang w:val="en-US"/>
              </w:rPr>
              <w:t xml:space="preserve">CHS 338: Poverty, Homelessness, and Social Justice </w:t>
            </w:r>
          </w:p>
          <w:p w14:paraId="67A74858" w14:textId="77777777" w:rsidR="00783C6A" w:rsidRPr="00DE3226" w:rsidRDefault="00783C6A" w:rsidP="00467845">
            <w:pPr>
              <w:pStyle w:val="Default"/>
              <w:rPr>
                <w:b/>
                <w:lang w:val="en-US"/>
              </w:rPr>
            </w:pPr>
          </w:p>
        </w:tc>
        <w:tc>
          <w:tcPr>
            <w:tcW w:w="2430" w:type="dxa"/>
          </w:tcPr>
          <w:p w14:paraId="178F3735" w14:textId="2F18DCDF" w:rsidR="00783C6A" w:rsidRPr="00DE3226" w:rsidRDefault="00817F08" w:rsidP="00005003">
            <w:r w:rsidRPr="00DE3226">
              <w:t>Lori A</w:t>
            </w:r>
            <w:r>
              <w:t>.</w:t>
            </w:r>
            <w:r w:rsidRPr="00DE3226">
              <w:t xml:space="preserve"> Bruch, Ed.D., CRC, LPC</w:t>
            </w:r>
          </w:p>
        </w:tc>
      </w:tr>
      <w:tr w:rsidR="00AC5865" w:rsidRPr="00DE3226" w14:paraId="12450234" w14:textId="77777777" w:rsidTr="00820353">
        <w:tc>
          <w:tcPr>
            <w:tcW w:w="2017" w:type="dxa"/>
          </w:tcPr>
          <w:p w14:paraId="59F67B51" w14:textId="77777777" w:rsidR="00AC5865" w:rsidRPr="00DE3226" w:rsidRDefault="00AC5865" w:rsidP="00AC5865"/>
          <w:p w14:paraId="5FE5B421" w14:textId="77777777" w:rsidR="00AC5865" w:rsidRPr="00DE3226" w:rsidRDefault="00AC5865" w:rsidP="00AC5865"/>
          <w:p w14:paraId="0A3C50CD" w14:textId="77777777" w:rsidR="00AC5865" w:rsidRPr="00DE3226" w:rsidRDefault="00AC5865" w:rsidP="00AC5865">
            <w:r w:rsidRPr="00DE3226">
              <w:t>Health Administration and Human Resources</w:t>
            </w:r>
          </w:p>
        </w:tc>
        <w:tc>
          <w:tcPr>
            <w:tcW w:w="4278" w:type="dxa"/>
          </w:tcPr>
          <w:p w14:paraId="46F470C9" w14:textId="77777777" w:rsidR="00AC5865" w:rsidRPr="00DE3226" w:rsidRDefault="00AC5865" w:rsidP="00AC5865">
            <w:pPr>
              <w:rPr>
                <w:b/>
              </w:rPr>
            </w:pPr>
          </w:p>
          <w:p w14:paraId="2A979E38" w14:textId="77777777" w:rsidR="00AC5865" w:rsidRPr="00DE3226" w:rsidRDefault="00AC5865" w:rsidP="00AC5865">
            <w:pPr>
              <w:pStyle w:val="Default"/>
              <w:rPr>
                <w:rFonts w:ascii="Times New Roman" w:eastAsia="Times New Roman" w:hAnsi="Times New Roman" w:cs="Times New Roman"/>
                <w:sz w:val="24"/>
                <w:szCs w:val="24"/>
                <w:u w:color="000000"/>
                <w:lang w:val="en-US"/>
              </w:rPr>
            </w:pPr>
            <w:r w:rsidRPr="00DE3226">
              <w:rPr>
                <w:rFonts w:ascii="Times New Roman" w:hAnsi="Times New Roman" w:cs="Times New Roman"/>
                <w:sz w:val="24"/>
                <w:szCs w:val="24"/>
                <w:u w:color="000000"/>
                <w:lang w:val="en-US"/>
              </w:rPr>
              <w:t xml:space="preserve">HADM 315: Cultural Diversity and Health Administration </w:t>
            </w:r>
          </w:p>
          <w:p w14:paraId="159DA3F6" w14:textId="77777777" w:rsidR="00AC5865" w:rsidRPr="00DE3226" w:rsidRDefault="00AC5865" w:rsidP="00AC5865">
            <w:pPr>
              <w:pStyle w:val="Default"/>
              <w:rPr>
                <w:rFonts w:ascii="Times New Roman" w:eastAsia="Times New Roman" w:hAnsi="Times New Roman" w:cs="Times New Roman"/>
                <w:sz w:val="24"/>
                <w:szCs w:val="24"/>
                <w:u w:color="000000"/>
                <w:lang w:val="en-US"/>
              </w:rPr>
            </w:pPr>
            <w:r w:rsidRPr="00DE3226">
              <w:rPr>
                <w:rFonts w:ascii="Times New Roman" w:hAnsi="Times New Roman" w:cs="Times New Roman"/>
                <w:sz w:val="24"/>
                <w:szCs w:val="24"/>
                <w:u w:color="000000"/>
                <w:lang w:val="en-US"/>
              </w:rPr>
              <w:t>HADM 331: International Health Care</w:t>
            </w:r>
          </w:p>
          <w:p w14:paraId="5BA7D122" w14:textId="77777777" w:rsidR="00AC5865" w:rsidRPr="00DE3226" w:rsidRDefault="00AC5865" w:rsidP="00AC5865">
            <w:pPr>
              <w:pStyle w:val="Default"/>
              <w:rPr>
                <w:rFonts w:ascii="Times New Roman" w:hAnsi="Times New Roman" w:cs="Times New Roman"/>
                <w:sz w:val="24"/>
                <w:szCs w:val="24"/>
                <w:u w:color="000000"/>
                <w:lang w:val="en-US"/>
              </w:rPr>
            </w:pPr>
            <w:r w:rsidRPr="00DE3226">
              <w:rPr>
                <w:rFonts w:ascii="Times New Roman" w:hAnsi="Times New Roman" w:cs="Times New Roman"/>
                <w:sz w:val="24"/>
                <w:szCs w:val="24"/>
                <w:u w:color="000000"/>
                <w:lang w:val="en-US"/>
              </w:rPr>
              <w:t>HADM 395: Global Health Care Systems</w:t>
            </w:r>
          </w:p>
          <w:p w14:paraId="500EEB1B" w14:textId="77777777" w:rsidR="00AC5865" w:rsidRPr="00DE3226" w:rsidRDefault="00AC5865" w:rsidP="00AC5865">
            <w:pPr>
              <w:pStyle w:val="Default"/>
              <w:rPr>
                <w:rFonts w:ascii="Times New Roman" w:hAnsi="Times New Roman" w:cs="Times New Roman"/>
                <w:sz w:val="24"/>
                <w:szCs w:val="24"/>
                <w:u w:color="000000"/>
                <w:lang w:val="en-US"/>
              </w:rPr>
            </w:pPr>
          </w:p>
          <w:p w14:paraId="675E37E8" w14:textId="77777777" w:rsidR="00AC5865" w:rsidRPr="00DE3226" w:rsidRDefault="00AC5865" w:rsidP="00AC5865">
            <w:pPr>
              <w:pStyle w:val="Default"/>
              <w:rPr>
                <w:rFonts w:ascii="Times New Roman" w:eastAsia="Times New Roman" w:hAnsi="Times New Roman" w:cs="Times New Roman"/>
                <w:sz w:val="24"/>
                <w:szCs w:val="24"/>
                <w:u w:color="000000"/>
                <w:lang w:val="en-US"/>
              </w:rPr>
            </w:pPr>
          </w:p>
          <w:p w14:paraId="2493BBF7" w14:textId="77777777" w:rsidR="00AC5865" w:rsidRPr="00DE3226" w:rsidRDefault="00AC5865" w:rsidP="00AC5865">
            <w:pPr>
              <w:rPr>
                <w:b/>
              </w:rPr>
            </w:pPr>
          </w:p>
        </w:tc>
        <w:tc>
          <w:tcPr>
            <w:tcW w:w="2430" w:type="dxa"/>
          </w:tcPr>
          <w:p w14:paraId="529EAFCC" w14:textId="77777777" w:rsidR="00AC5865" w:rsidRPr="00DE3226" w:rsidRDefault="00AC5865" w:rsidP="00AC5865"/>
          <w:p w14:paraId="2CCB0060" w14:textId="77777777" w:rsidR="00AC5865" w:rsidRPr="00DE3226" w:rsidRDefault="00AC5865" w:rsidP="00AC5865"/>
          <w:p w14:paraId="02DA1F7F" w14:textId="77777777" w:rsidR="00AC5865" w:rsidRPr="00DE3226" w:rsidRDefault="00AC5865" w:rsidP="00AC5865">
            <w:r w:rsidRPr="00DE3226">
              <w:t>Daniel J. West, Ph.D., FACHE</w:t>
            </w:r>
          </w:p>
        </w:tc>
      </w:tr>
      <w:tr w:rsidR="00AC5865" w:rsidRPr="00DE3226" w14:paraId="3912F60F" w14:textId="77777777" w:rsidTr="00820353">
        <w:tc>
          <w:tcPr>
            <w:tcW w:w="2017" w:type="dxa"/>
          </w:tcPr>
          <w:p w14:paraId="7C724B16" w14:textId="77777777" w:rsidR="00AC5865" w:rsidRPr="00DE3226" w:rsidRDefault="00AC5865" w:rsidP="00AC5865">
            <w:r w:rsidRPr="00DE3226">
              <w:t>Exercise Science and Sport</w:t>
            </w:r>
          </w:p>
        </w:tc>
        <w:tc>
          <w:tcPr>
            <w:tcW w:w="4278" w:type="dxa"/>
          </w:tcPr>
          <w:p w14:paraId="47B78384" w14:textId="77777777" w:rsidR="00AC5865" w:rsidRPr="00DE3226" w:rsidRDefault="00AC5865" w:rsidP="00AC5865">
            <w:pPr>
              <w:pStyle w:val="Default"/>
              <w:rPr>
                <w:rFonts w:ascii="Times New Roman" w:hAnsi="Times New Roman" w:cs="Times New Roman"/>
                <w:sz w:val="24"/>
                <w:szCs w:val="24"/>
                <w:u w:color="000000"/>
                <w:lang w:val="en-US"/>
              </w:rPr>
            </w:pPr>
          </w:p>
          <w:p w14:paraId="663D2C34" w14:textId="3A3FA0FE" w:rsidR="00AC5865" w:rsidRPr="00DE3226" w:rsidRDefault="00BC4D9E" w:rsidP="00AC5865">
            <w:pPr>
              <w:pStyle w:val="Default"/>
              <w:rPr>
                <w:rFonts w:ascii="Times New Roman" w:hAnsi="Times New Roman" w:cs="Times New Roman"/>
                <w:sz w:val="24"/>
                <w:szCs w:val="24"/>
                <w:u w:color="000000"/>
                <w:lang w:val="en-US"/>
              </w:rPr>
            </w:pPr>
            <w:r>
              <w:rPr>
                <w:rFonts w:ascii="Times New Roman" w:hAnsi="Times New Roman" w:cs="Times New Roman"/>
                <w:sz w:val="24"/>
                <w:szCs w:val="24"/>
                <w:u w:color="000000"/>
                <w:lang w:val="en-US"/>
              </w:rPr>
              <w:t>HPRO 230</w:t>
            </w:r>
            <w:r w:rsidR="00AC5865" w:rsidRPr="00DE3226">
              <w:rPr>
                <w:rFonts w:ascii="Times New Roman" w:hAnsi="Times New Roman" w:cs="Times New Roman"/>
                <w:sz w:val="24"/>
                <w:szCs w:val="24"/>
                <w:u w:color="000000"/>
                <w:lang w:val="en-US"/>
              </w:rPr>
              <w:t>: Multicultural Health</w:t>
            </w:r>
          </w:p>
          <w:p w14:paraId="53D5AB25" w14:textId="4C190F62" w:rsidR="00AC5865" w:rsidRPr="00DE3226" w:rsidRDefault="00BC4D9E" w:rsidP="00AC5865">
            <w:pPr>
              <w:rPr>
                <w:color w:val="000000"/>
                <w:shd w:val="clear" w:color="auto" w:fill="FFFFFF"/>
              </w:rPr>
            </w:pPr>
            <w:r>
              <w:rPr>
                <w:color w:val="000000"/>
                <w:shd w:val="clear" w:color="auto" w:fill="FFFFFF"/>
              </w:rPr>
              <w:t>HPRO 310</w:t>
            </w:r>
            <w:r w:rsidR="00AC5865" w:rsidRPr="00DE3226">
              <w:rPr>
                <w:color w:val="000000"/>
                <w:shd w:val="clear" w:color="auto" w:fill="FFFFFF"/>
              </w:rPr>
              <w:t xml:space="preserve">: </w:t>
            </w:r>
            <w:r w:rsidR="00AC5865" w:rsidRPr="00DE3226">
              <w:rPr>
                <w:color w:val="000000"/>
                <w:bdr w:val="none" w:sz="0" w:space="0" w:color="auto" w:frame="1"/>
              </w:rPr>
              <w:t xml:space="preserve">Health </w:t>
            </w:r>
            <w:r w:rsidR="00AC5865" w:rsidRPr="00DE3226">
              <w:rPr>
                <w:color w:val="000000"/>
                <w:shd w:val="clear" w:color="auto" w:fill="FFFFFF"/>
              </w:rPr>
              <w:t>Behavior Theory (prerequisite: third year standing)</w:t>
            </w:r>
          </w:p>
          <w:p w14:paraId="471385A1" w14:textId="77777777" w:rsidR="00AC5865" w:rsidRPr="00DE3226" w:rsidRDefault="00AC5865" w:rsidP="00AC5865">
            <w:pPr>
              <w:pStyle w:val="Default"/>
              <w:rPr>
                <w:rFonts w:ascii="Times New Roman" w:hAnsi="Times New Roman" w:cs="Times New Roman"/>
                <w:sz w:val="24"/>
                <w:szCs w:val="24"/>
                <w:u w:color="000000"/>
                <w:lang w:val="en-US"/>
              </w:rPr>
            </w:pPr>
          </w:p>
          <w:p w14:paraId="52FA4D80" w14:textId="77777777" w:rsidR="00AC5865" w:rsidRPr="00DE3226" w:rsidRDefault="00AC5865" w:rsidP="00AC5865">
            <w:pPr>
              <w:rPr>
                <w:b/>
              </w:rPr>
            </w:pPr>
          </w:p>
        </w:tc>
        <w:tc>
          <w:tcPr>
            <w:tcW w:w="2430" w:type="dxa"/>
          </w:tcPr>
          <w:p w14:paraId="677C036F" w14:textId="77777777" w:rsidR="00AC5865" w:rsidRPr="00DE3226" w:rsidRDefault="00AC5865" w:rsidP="00AC5865">
            <w:r w:rsidRPr="00DE3226">
              <w:t xml:space="preserve">Paul T. </w:t>
            </w:r>
            <w:proofErr w:type="spellStart"/>
            <w:r w:rsidRPr="00DE3226">
              <w:t>Cutrufello</w:t>
            </w:r>
            <w:proofErr w:type="spellEnd"/>
            <w:r w:rsidRPr="00DE3226">
              <w:t>, Ph.D.</w:t>
            </w:r>
          </w:p>
          <w:p w14:paraId="1B9CB4A9" w14:textId="77777777" w:rsidR="00AC5865" w:rsidRPr="00DE3226" w:rsidRDefault="00AC5865" w:rsidP="00AC5865"/>
          <w:p w14:paraId="65CB6A1E" w14:textId="77777777" w:rsidR="00AC5865" w:rsidRPr="00DE3226" w:rsidRDefault="00AC5865" w:rsidP="00AC5865">
            <w:r w:rsidRPr="00DE3226">
              <w:t xml:space="preserve">Debra L. </w:t>
            </w:r>
            <w:proofErr w:type="spellStart"/>
            <w:r w:rsidRPr="00DE3226">
              <w:t>Fetherman</w:t>
            </w:r>
            <w:proofErr w:type="spellEnd"/>
            <w:r w:rsidRPr="00DE3226">
              <w:t xml:space="preserve"> Ph.D., MCHES, ACSM EP-C. </w:t>
            </w:r>
          </w:p>
        </w:tc>
      </w:tr>
      <w:tr w:rsidR="00AC5865" w:rsidRPr="00DE3226" w14:paraId="6CDC0941" w14:textId="77777777" w:rsidTr="00820353">
        <w:tc>
          <w:tcPr>
            <w:tcW w:w="2017" w:type="dxa"/>
          </w:tcPr>
          <w:p w14:paraId="277667EE" w14:textId="77777777" w:rsidR="00AC5865" w:rsidRPr="00DE3226" w:rsidRDefault="00AC5865" w:rsidP="00AC5865">
            <w:r w:rsidRPr="00DE3226">
              <w:t>Psychology</w:t>
            </w:r>
          </w:p>
        </w:tc>
        <w:tc>
          <w:tcPr>
            <w:tcW w:w="4278" w:type="dxa"/>
          </w:tcPr>
          <w:p w14:paraId="047DDE12" w14:textId="77777777" w:rsidR="00AC5865" w:rsidRPr="00DE3226" w:rsidRDefault="00AC5865" w:rsidP="00AC5865">
            <w:pPr>
              <w:pStyle w:val="Default"/>
              <w:rPr>
                <w:rFonts w:ascii="Times New Roman" w:hAnsi="Times New Roman" w:cs="Times New Roman"/>
                <w:sz w:val="24"/>
                <w:szCs w:val="24"/>
                <w:u w:color="000000"/>
                <w:lang w:val="en-US"/>
              </w:rPr>
            </w:pPr>
          </w:p>
          <w:p w14:paraId="6BBD0C63" w14:textId="77777777" w:rsidR="00AC5865" w:rsidRPr="00DE3226" w:rsidRDefault="00AC5865" w:rsidP="00AC5865">
            <w:pPr>
              <w:pStyle w:val="Default"/>
              <w:rPr>
                <w:rFonts w:ascii="Times New Roman" w:hAnsi="Times New Roman" w:cs="Times New Roman"/>
                <w:sz w:val="24"/>
                <w:szCs w:val="24"/>
                <w:u w:color="000000"/>
                <w:lang w:val="en-US"/>
              </w:rPr>
            </w:pPr>
            <w:r w:rsidRPr="00DE3226">
              <w:rPr>
                <w:rFonts w:ascii="Times New Roman" w:hAnsi="Times New Roman" w:cs="Times New Roman"/>
                <w:sz w:val="24"/>
                <w:szCs w:val="24"/>
                <w:u w:color="000000"/>
                <w:lang w:val="en-US"/>
              </w:rPr>
              <w:t>PSYC 228: Health Psychology</w:t>
            </w:r>
          </w:p>
          <w:p w14:paraId="4E91267A" w14:textId="77777777" w:rsidR="00AC5865" w:rsidRPr="00DE3226" w:rsidRDefault="00AC5865" w:rsidP="00AC5865">
            <w:pPr>
              <w:rPr>
                <w:color w:val="000000"/>
                <w:shd w:val="clear" w:color="auto" w:fill="FFFFFF"/>
              </w:rPr>
            </w:pPr>
            <w:r w:rsidRPr="00DE3226">
              <w:rPr>
                <w:color w:val="000000"/>
                <w:shd w:val="clear" w:color="auto" w:fill="FFFFFF"/>
              </w:rPr>
              <w:t>PSYC237: </w:t>
            </w:r>
            <w:r w:rsidRPr="00DE3226">
              <w:rPr>
                <w:color w:val="000000"/>
                <w:bdr w:val="none" w:sz="0" w:space="0" w:color="auto" w:frame="1"/>
              </w:rPr>
              <w:t>Psychology</w:t>
            </w:r>
            <w:r w:rsidRPr="00DE3226">
              <w:rPr>
                <w:color w:val="000000"/>
                <w:shd w:val="clear" w:color="auto" w:fill="FFFFFF"/>
              </w:rPr>
              <w:t> of Women</w:t>
            </w:r>
          </w:p>
          <w:p w14:paraId="176B58B4" w14:textId="77777777" w:rsidR="00AC5865" w:rsidRPr="00DE3226" w:rsidRDefault="00AC5865" w:rsidP="00AC5865">
            <w:pPr>
              <w:rPr>
                <w:b/>
              </w:rPr>
            </w:pPr>
          </w:p>
        </w:tc>
        <w:tc>
          <w:tcPr>
            <w:tcW w:w="2430" w:type="dxa"/>
          </w:tcPr>
          <w:p w14:paraId="0C36A372" w14:textId="77777777" w:rsidR="00AC5865" w:rsidRPr="00DE3226" w:rsidRDefault="00AC5865" w:rsidP="00AC5865">
            <w:r w:rsidRPr="00DE3226">
              <w:t xml:space="preserve">Christie P. Karpiak, Ph.D. </w:t>
            </w:r>
          </w:p>
        </w:tc>
      </w:tr>
      <w:tr w:rsidR="00AC5865" w:rsidRPr="00DE3226" w14:paraId="7096373E" w14:textId="77777777" w:rsidTr="00820353">
        <w:tc>
          <w:tcPr>
            <w:tcW w:w="2017" w:type="dxa"/>
          </w:tcPr>
          <w:p w14:paraId="505BF015" w14:textId="77777777" w:rsidR="00AC5865" w:rsidRPr="00DE3226" w:rsidRDefault="00AC5865" w:rsidP="00AC5865">
            <w:r w:rsidRPr="00DE3226">
              <w:t>Nursing</w:t>
            </w:r>
          </w:p>
        </w:tc>
        <w:tc>
          <w:tcPr>
            <w:tcW w:w="4278" w:type="dxa"/>
          </w:tcPr>
          <w:p w14:paraId="72163E00" w14:textId="77777777" w:rsidR="00AC5865" w:rsidRPr="00DE3226" w:rsidRDefault="00AC5865" w:rsidP="00AC5865"/>
          <w:p w14:paraId="5A55872D" w14:textId="4205E27F" w:rsidR="00AC5865" w:rsidRPr="00DE3226" w:rsidRDefault="00AC5865" w:rsidP="00AC5865">
            <w:r w:rsidRPr="00DE3226">
              <w:t>NURS 2</w:t>
            </w:r>
            <w:r w:rsidR="002C0F59">
              <w:t>33</w:t>
            </w:r>
            <w:r w:rsidRPr="00DE3226">
              <w:t xml:space="preserve">: Genetics for the Healthcare Professional </w:t>
            </w:r>
          </w:p>
          <w:p w14:paraId="1E2FA8E2" w14:textId="77777777" w:rsidR="00AC5865" w:rsidRPr="00DE3226" w:rsidRDefault="00AC5865" w:rsidP="00AC5865">
            <w:r w:rsidRPr="00DE3226">
              <w:t>NURS 405: Healthcare Writing for Publication</w:t>
            </w:r>
          </w:p>
          <w:p w14:paraId="256EB048" w14:textId="77777777" w:rsidR="00AC5865" w:rsidRPr="00DE3226" w:rsidRDefault="00AC5865" w:rsidP="00AC5865">
            <w:pPr>
              <w:rPr>
                <w:color w:val="1D1C1D"/>
                <w:shd w:val="clear" w:color="auto" w:fill="FFFFFF"/>
              </w:rPr>
            </w:pPr>
            <w:r w:rsidRPr="00DE3226">
              <w:rPr>
                <w:color w:val="1D1C1D"/>
                <w:shd w:val="clear" w:color="auto" w:fill="FFFFFF"/>
              </w:rPr>
              <w:t>NURS 310: Understanding Transcultural Health</w:t>
            </w:r>
          </w:p>
          <w:p w14:paraId="226D8D41" w14:textId="77777777" w:rsidR="00AC5865" w:rsidRPr="00DE3226" w:rsidRDefault="00AC5865" w:rsidP="00AC5865">
            <w:pPr>
              <w:rPr>
                <w:color w:val="1D1C1D"/>
                <w:shd w:val="clear" w:color="auto" w:fill="FFFFFF"/>
              </w:rPr>
            </w:pPr>
            <w:r w:rsidRPr="00DE3226">
              <w:rPr>
                <w:color w:val="1D1C1D"/>
                <w:shd w:val="clear" w:color="auto" w:fill="FFFFFF"/>
              </w:rPr>
              <w:t>NURS 314: Principles of Nursing Ethics</w:t>
            </w:r>
          </w:p>
          <w:p w14:paraId="5FD0BAF2" w14:textId="77777777" w:rsidR="00AC5865" w:rsidRPr="00DE3226" w:rsidRDefault="00AC5865" w:rsidP="00AC5865">
            <w:pPr>
              <w:rPr>
                <w:color w:val="1D1C1D"/>
                <w:shd w:val="clear" w:color="auto" w:fill="FFFFFF"/>
              </w:rPr>
            </w:pPr>
            <w:r w:rsidRPr="00DE3226">
              <w:rPr>
                <w:color w:val="1D1C1D"/>
                <w:shd w:val="clear" w:color="auto" w:fill="FFFFFF"/>
              </w:rPr>
              <w:t>INTD211: HIV/AIDS: Biological, Social, and Cultural Issues</w:t>
            </w:r>
          </w:p>
          <w:p w14:paraId="652A03AB" w14:textId="77777777" w:rsidR="00AC5865" w:rsidRPr="00DE3226" w:rsidRDefault="00AC5865" w:rsidP="005019BD">
            <w:pPr>
              <w:rPr>
                <w:b/>
              </w:rPr>
            </w:pPr>
          </w:p>
        </w:tc>
        <w:tc>
          <w:tcPr>
            <w:tcW w:w="2430" w:type="dxa"/>
          </w:tcPr>
          <w:p w14:paraId="17DBB681" w14:textId="120A1582" w:rsidR="00AC5865" w:rsidRPr="00DE3226" w:rsidRDefault="00AC5865" w:rsidP="00AC5865">
            <w:r w:rsidRPr="00DE3226">
              <w:t xml:space="preserve">Kim </w:t>
            </w:r>
            <w:proofErr w:type="spellStart"/>
            <w:r w:rsidRPr="00DE3226">
              <w:t>Subasi</w:t>
            </w:r>
            <w:r>
              <w:t>c</w:t>
            </w:r>
            <w:proofErr w:type="spellEnd"/>
            <w:r w:rsidRPr="00DE3226">
              <w:t>, Ph.D., MS, RN, CNE</w:t>
            </w:r>
          </w:p>
        </w:tc>
      </w:tr>
      <w:tr w:rsidR="00AC5865" w:rsidRPr="00DE3226" w14:paraId="7F8A242C" w14:textId="77777777" w:rsidTr="00820353">
        <w:tc>
          <w:tcPr>
            <w:tcW w:w="2017" w:type="dxa"/>
          </w:tcPr>
          <w:p w14:paraId="4DD235FE" w14:textId="77777777" w:rsidR="00AC5865" w:rsidRPr="00DE3226" w:rsidRDefault="00AC5865" w:rsidP="00AC5865">
            <w:pPr>
              <w:rPr>
                <w:b/>
              </w:rPr>
            </w:pPr>
          </w:p>
          <w:p w14:paraId="146E1D7A" w14:textId="763DB881" w:rsidR="00AC5865" w:rsidRPr="00DE3226" w:rsidRDefault="00AC5865" w:rsidP="00AC5865"/>
          <w:p w14:paraId="38DC2E31" w14:textId="77777777" w:rsidR="00AC5865" w:rsidRPr="00DE3226" w:rsidRDefault="00AC5865" w:rsidP="00AC5865"/>
          <w:p w14:paraId="5F6DA0BE" w14:textId="77777777" w:rsidR="00AC5865" w:rsidRPr="00DE3226" w:rsidRDefault="00AC5865" w:rsidP="00AC5865">
            <w:pPr>
              <w:rPr>
                <w:b/>
              </w:rPr>
            </w:pPr>
            <w:r w:rsidRPr="00DE3226">
              <w:t>Biology</w:t>
            </w:r>
          </w:p>
        </w:tc>
        <w:tc>
          <w:tcPr>
            <w:tcW w:w="4278" w:type="dxa"/>
          </w:tcPr>
          <w:p w14:paraId="0BBC878C" w14:textId="71E4D50E" w:rsidR="00AC5865" w:rsidRPr="00DE3226" w:rsidRDefault="00AC5865" w:rsidP="00AC5865"/>
          <w:p w14:paraId="767F0987" w14:textId="61C817E5" w:rsidR="005019BD" w:rsidRDefault="005019BD" w:rsidP="00AC5865">
            <w:r>
              <w:t>BIOL 141: General Biology I</w:t>
            </w:r>
          </w:p>
          <w:p w14:paraId="54499A1C" w14:textId="53513C89" w:rsidR="005019BD" w:rsidRPr="00DE3226" w:rsidRDefault="005019BD" w:rsidP="00AC5865">
            <w:r>
              <w:t>BIOL 142: General Biology II</w:t>
            </w:r>
          </w:p>
          <w:p w14:paraId="69BDFA75" w14:textId="206CD5D1" w:rsidR="00AC5865" w:rsidRDefault="00AC5865" w:rsidP="00AC5865">
            <w:r w:rsidRPr="00DE3226">
              <w:t>BIOL 204: Environmental Issues in Latin America</w:t>
            </w:r>
          </w:p>
          <w:p w14:paraId="30366254" w14:textId="77777777" w:rsidR="00AC5865" w:rsidRDefault="00AC5865" w:rsidP="00AC5865">
            <w:r>
              <w:t>BIOL 250: Microbiology</w:t>
            </w:r>
          </w:p>
          <w:p w14:paraId="3166EF02" w14:textId="77777777" w:rsidR="00AC5865" w:rsidRDefault="00AC5865" w:rsidP="00AC5865">
            <w:r>
              <w:t>BIOL 344: Principles of Immunology</w:t>
            </w:r>
          </w:p>
          <w:p w14:paraId="0A53819B" w14:textId="54EBE5EF" w:rsidR="00AC5865" w:rsidRPr="00DE3226" w:rsidRDefault="00AC5865" w:rsidP="00AC5865">
            <w:r>
              <w:t>BIOL 364: Virology</w:t>
            </w:r>
          </w:p>
          <w:p w14:paraId="383E3B50" w14:textId="77777777" w:rsidR="00AC5865" w:rsidRPr="00DE3226" w:rsidRDefault="00AC5865" w:rsidP="00AC5865"/>
        </w:tc>
        <w:tc>
          <w:tcPr>
            <w:tcW w:w="2430" w:type="dxa"/>
          </w:tcPr>
          <w:p w14:paraId="4EE1EF55" w14:textId="77777777" w:rsidR="00AC5865" w:rsidRPr="00DE3226" w:rsidRDefault="00AC5865" w:rsidP="00AC5865"/>
          <w:p w14:paraId="4FABF134" w14:textId="77777777" w:rsidR="00AC5865" w:rsidRPr="00DE3226" w:rsidRDefault="00AC5865" w:rsidP="00AC5865"/>
          <w:p w14:paraId="4EBCF250" w14:textId="77777777" w:rsidR="00AC5865" w:rsidRPr="00DE3226" w:rsidRDefault="00AC5865" w:rsidP="00AC5865"/>
          <w:p w14:paraId="4676399D" w14:textId="125129CA" w:rsidR="00AC5865" w:rsidRPr="00DE3226" w:rsidRDefault="00AC5865" w:rsidP="00AC5865">
            <w:r w:rsidRPr="00DE3226">
              <w:t>Terrence Sweeney, Ph.D.</w:t>
            </w:r>
          </w:p>
        </w:tc>
      </w:tr>
    </w:tbl>
    <w:p w14:paraId="719AAFDB" w14:textId="5116BC75" w:rsidR="00783C6A" w:rsidRPr="00DE3226" w:rsidRDefault="00783C6A" w:rsidP="00783C6A">
      <w:pPr>
        <w:rPr>
          <w:b/>
        </w:rPr>
      </w:pPr>
    </w:p>
    <w:p w14:paraId="7048C318" w14:textId="347BD4CA" w:rsidR="00605210" w:rsidRPr="00DE3226" w:rsidRDefault="00605210" w:rsidP="00605210">
      <w:pPr>
        <w:pStyle w:val="Default"/>
        <w:rPr>
          <w:rFonts w:ascii="Times New Roman" w:hAnsi="Times New Roman" w:cs="Times New Roman"/>
          <w:sz w:val="24"/>
          <w:szCs w:val="24"/>
          <w:u w:color="000000"/>
          <w:lang w:val="en-US"/>
        </w:rPr>
      </w:pPr>
      <w:r w:rsidRPr="00DE3226">
        <w:rPr>
          <w:rFonts w:ascii="Times New Roman" w:hAnsi="Times New Roman" w:cs="Times New Roman"/>
          <w:sz w:val="24"/>
          <w:szCs w:val="24"/>
          <w:u w:color="000000"/>
          <w:lang w:val="en-US"/>
        </w:rPr>
        <w:t>The above diagram of courses is a version of the appended sheet bearing all the signatures of the listed Department Chairs.</w:t>
      </w:r>
      <w:r w:rsidR="00174A35" w:rsidRPr="00DE3226">
        <w:rPr>
          <w:rStyle w:val="FootnoteReference"/>
          <w:rFonts w:ascii="Times New Roman" w:hAnsi="Times New Roman" w:cs="Times New Roman"/>
          <w:sz w:val="24"/>
          <w:szCs w:val="24"/>
          <w:u w:color="000000"/>
          <w:lang w:val="en-US"/>
        </w:rPr>
        <w:footnoteReference w:id="15"/>
      </w:r>
      <w:r w:rsidR="00487FC9">
        <w:rPr>
          <w:rFonts w:ascii="Times New Roman" w:hAnsi="Times New Roman" w:cs="Times New Roman"/>
          <w:sz w:val="24"/>
          <w:szCs w:val="24"/>
          <w:u w:color="000000"/>
          <w:lang w:val="en-US"/>
        </w:rPr>
        <w:t xml:space="preserve"> </w:t>
      </w:r>
    </w:p>
    <w:p w14:paraId="1FEA5583" w14:textId="7BDF57A2" w:rsidR="00746054" w:rsidRPr="00DE3226" w:rsidRDefault="00746054" w:rsidP="00746054">
      <w:pPr>
        <w:pStyle w:val="Default"/>
        <w:rPr>
          <w:rFonts w:ascii="Times New Roman" w:hAnsi="Times New Roman" w:cs="Times New Roman"/>
          <w:sz w:val="24"/>
          <w:szCs w:val="24"/>
          <w:u w:color="000000"/>
          <w:lang w:val="en-US"/>
        </w:rPr>
      </w:pPr>
    </w:p>
    <w:p w14:paraId="2CA9D84B" w14:textId="77777777" w:rsidR="001127F6" w:rsidRDefault="001127F6" w:rsidP="00746054">
      <w:pPr>
        <w:pStyle w:val="Default"/>
        <w:rPr>
          <w:rFonts w:ascii="Times New Roman" w:hAnsi="Times New Roman" w:cs="Times New Roman"/>
          <w:b/>
          <w:bCs/>
          <w:sz w:val="24"/>
          <w:szCs w:val="24"/>
          <w:u w:color="000000"/>
          <w:lang w:val="en-US"/>
        </w:rPr>
      </w:pPr>
    </w:p>
    <w:p w14:paraId="2D08FD02" w14:textId="77777777" w:rsidR="001127F6" w:rsidRDefault="001127F6" w:rsidP="00746054">
      <w:pPr>
        <w:pStyle w:val="Default"/>
        <w:rPr>
          <w:rFonts w:ascii="Times New Roman" w:hAnsi="Times New Roman" w:cs="Times New Roman"/>
          <w:b/>
          <w:bCs/>
          <w:sz w:val="24"/>
          <w:szCs w:val="24"/>
          <w:u w:color="000000"/>
          <w:lang w:val="en-US"/>
        </w:rPr>
      </w:pPr>
    </w:p>
    <w:p w14:paraId="3D1EAC9A" w14:textId="408442F1" w:rsidR="00746054" w:rsidRPr="00DE3226" w:rsidRDefault="00134397" w:rsidP="00746054">
      <w:pPr>
        <w:pStyle w:val="Default"/>
        <w:rPr>
          <w:rFonts w:ascii="Times New Roman" w:hAnsi="Times New Roman" w:cs="Times New Roman"/>
          <w:b/>
          <w:bCs/>
          <w:sz w:val="24"/>
          <w:szCs w:val="24"/>
          <w:u w:color="000000"/>
          <w:lang w:val="en-US"/>
        </w:rPr>
      </w:pPr>
      <w:r w:rsidRPr="00DE3226">
        <w:rPr>
          <w:rFonts w:ascii="Times New Roman" w:hAnsi="Times New Roman" w:cs="Times New Roman"/>
          <w:b/>
          <w:bCs/>
          <w:sz w:val="24"/>
          <w:szCs w:val="24"/>
          <w:u w:color="000000"/>
          <w:lang w:val="en-US"/>
        </w:rPr>
        <w:t>New courses</w:t>
      </w:r>
      <w:r w:rsidR="00605210" w:rsidRPr="00DE3226">
        <w:rPr>
          <w:rFonts w:ascii="Times New Roman" w:hAnsi="Times New Roman" w:cs="Times New Roman"/>
          <w:b/>
          <w:bCs/>
          <w:sz w:val="24"/>
          <w:szCs w:val="24"/>
          <w:u w:color="000000"/>
          <w:lang w:val="en-US"/>
        </w:rPr>
        <w:t xml:space="preserve"> proposed for the program:</w:t>
      </w:r>
      <w:r w:rsidR="00605210" w:rsidRPr="00DE3226">
        <w:rPr>
          <w:rStyle w:val="FootnoteReference"/>
          <w:rFonts w:ascii="Times New Roman" w:hAnsi="Times New Roman" w:cs="Times New Roman"/>
          <w:b/>
          <w:bCs/>
          <w:sz w:val="24"/>
          <w:szCs w:val="24"/>
          <w:u w:color="000000"/>
          <w:lang w:val="en-US"/>
        </w:rPr>
        <w:footnoteReference w:id="16"/>
      </w:r>
    </w:p>
    <w:p w14:paraId="3183F895" w14:textId="77777777" w:rsidR="00783C6A" w:rsidRPr="00DE3226" w:rsidRDefault="00783C6A" w:rsidP="00746054">
      <w:pPr>
        <w:pStyle w:val="Default"/>
        <w:rPr>
          <w:rFonts w:ascii="Times New Roman" w:hAnsi="Times New Roman" w:cs="Times New Roman"/>
          <w:b/>
          <w:bCs/>
          <w:sz w:val="24"/>
          <w:szCs w:val="24"/>
          <w:u w:color="000000"/>
          <w:lang w:val="en-US"/>
        </w:rPr>
      </w:pPr>
    </w:p>
    <w:p w14:paraId="13A45E4D" w14:textId="6FE1B8CB" w:rsidR="00020A75" w:rsidRDefault="00020A75" w:rsidP="00746054">
      <w:pPr>
        <w:pStyle w:val="Default"/>
        <w:rPr>
          <w:rFonts w:ascii="Times New Roman" w:hAnsi="Times New Roman" w:cs="Times New Roman"/>
          <w:sz w:val="24"/>
          <w:szCs w:val="24"/>
          <w:u w:color="000000"/>
          <w:lang w:val="en-US"/>
        </w:rPr>
      </w:pPr>
      <w:r>
        <w:rPr>
          <w:rFonts w:ascii="Times New Roman" w:hAnsi="Times New Roman" w:cs="Times New Roman"/>
          <w:sz w:val="24"/>
          <w:szCs w:val="24"/>
          <w:u w:color="000000"/>
          <w:lang w:val="en-US"/>
        </w:rPr>
        <w:t>ENLT 254: “Bodybuilding”: Narratives of Health and Ability</w:t>
      </w:r>
    </w:p>
    <w:p w14:paraId="417B2B26" w14:textId="03CA0711" w:rsidR="00020A75" w:rsidRDefault="00020A75" w:rsidP="00746054">
      <w:pPr>
        <w:pStyle w:val="Default"/>
        <w:rPr>
          <w:rFonts w:ascii="Times New Roman" w:hAnsi="Times New Roman" w:cs="Times New Roman"/>
          <w:sz w:val="24"/>
          <w:szCs w:val="24"/>
          <w:u w:color="000000"/>
          <w:lang w:val="en-US"/>
        </w:rPr>
      </w:pPr>
      <w:r>
        <w:rPr>
          <w:rFonts w:ascii="Times New Roman" w:hAnsi="Times New Roman" w:cs="Times New Roman"/>
          <w:sz w:val="24"/>
          <w:szCs w:val="24"/>
          <w:u w:color="000000"/>
          <w:lang w:val="en-US"/>
        </w:rPr>
        <w:tab/>
        <w:t>Already submitted and approved</w:t>
      </w:r>
    </w:p>
    <w:p w14:paraId="728DCE89" w14:textId="77777777" w:rsidR="00020A75" w:rsidRDefault="00020A75" w:rsidP="00746054">
      <w:pPr>
        <w:pStyle w:val="Default"/>
        <w:rPr>
          <w:rFonts w:ascii="Times New Roman" w:hAnsi="Times New Roman" w:cs="Times New Roman"/>
          <w:sz w:val="24"/>
          <w:szCs w:val="24"/>
          <w:u w:color="000000"/>
          <w:lang w:val="en-US"/>
        </w:rPr>
      </w:pPr>
    </w:p>
    <w:p w14:paraId="0C641318" w14:textId="23C25D9B" w:rsidR="006745CD" w:rsidRPr="00DE3226" w:rsidRDefault="006745CD" w:rsidP="00746054">
      <w:pPr>
        <w:pStyle w:val="Default"/>
        <w:rPr>
          <w:rFonts w:ascii="Times New Roman" w:hAnsi="Times New Roman" w:cs="Times New Roman"/>
          <w:sz w:val="24"/>
          <w:szCs w:val="24"/>
          <w:u w:color="000000"/>
          <w:lang w:val="en-US"/>
        </w:rPr>
      </w:pPr>
      <w:r w:rsidRPr="00DE3226">
        <w:rPr>
          <w:rFonts w:ascii="Times New Roman" w:hAnsi="Times New Roman" w:cs="Times New Roman"/>
          <w:sz w:val="24"/>
          <w:szCs w:val="24"/>
          <w:u w:color="000000"/>
          <w:lang w:val="en-US"/>
        </w:rPr>
        <w:t xml:space="preserve">SPAN 324: Latin American Fictions of the Body. </w:t>
      </w:r>
    </w:p>
    <w:p w14:paraId="40DEC924" w14:textId="53278EC6" w:rsidR="006745CD" w:rsidRPr="00DE3226" w:rsidRDefault="006745CD" w:rsidP="006745CD">
      <w:pPr>
        <w:pStyle w:val="Default"/>
        <w:ind w:firstLine="708"/>
        <w:rPr>
          <w:rFonts w:ascii="Times New Roman" w:hAnsi="Times New Roman" w:cs="Times New Roman"/>
          <w:sz w:val="24"/>
          <w:szCs w:val="24"/>
          <w:u w:color="000000"/>
          <w:lang w:val="en-US"/>
        </w:rPr>
      </w:pPr>
      <w:r w:rsidRPr="00DE3226">
        <w:rPr>
          <w:rFonts w:ascii="Times New Roman" w:hAnsi="Times New Roman" w:cs="Times New Roman"/>
          <w:sz w:val="24"/>
          <w:szCs w:val="24"/>
          <w:u w:color="000000"/>
          <w:lang w:val="en-US"/>
        </w:rPr>
        <w:t>Already submitted</w:t>
      </w:r>
      <w:r w:rsidR="00020A75">
        <w:rPr>
          <w:rFonts w:ascii="Times New Roman" w:hAnsi="Times New Roman" w:cs="Times New Roman"/>
          <w:sz w:val="24"/>
          <w:szCs w:val="24"/>
          <w:u w:color="000000"/>
          <w:lang w:val="en-US"/>
        </w:rPr>
        <w:t xml:space="preserve"> and approved</w:t>
      </w:r>
    </w:p>
    <w:p w14:paraId="478D3D49" w14:textId="1074F17D" w:rsidR="00783C6A" w:rsidRPr="00DE3226" w:rsidRDefault="00783C6A" w:rsidP="00783C6A">
      <w:pPr>
        <w:pStyle w:val="Default"/>
        <w:rPr>
          <w:rFonts w:ascii="Times New Roman" w:hAnsi="Times New Roman" w:cs="Times New Roman"/>
          <w:sz w:val="24"/>
          <w:szCs w:val="24"/>
          <w:u w:color="000000"/>
          <w:lang w:val="en-US"/>
        </w:rPr>
      </w:pPr>
    </w:p>
    <w:p w14:paraId="55FA0C17" w14:textId="4FF1333B" w:rsidR="004C26AB" w:rsidRPr="00DE3226" w:rsidRDefault="004C26AB" w:rsidP="004C26AB">
      <w:pPr>
        <w:rPr>
          <w:color w:val="000000"/>
          <w:shd w:val="clear" w:color="auto" w:fill="FFFFFF"/>
        </w:rPr>
      </w:pPr>
      <w:r w:rsidRPr="00DE3226">
        <w:rPr>
          <w:color w:val="000000"/>
          <w:shd w:val="clear" w:color="auto" w:fill="FFFFFF"/>
        </w:rPr>
        <w:t xml:space="preserve">T/RS 246: Religion, </w:t>
      </w:r>
      <w:r w:rsidR="00EA4D95">
        <w:rPr>
          <w:color w:val="000000"/>
          <w:shd w:val="clear" w:color="auto" w:fill="FFFFFF"/>
        </w:rPr>
        <w:t xml:space="preserve">Bodies, and </w:t>
      </w:r>
      <w:r w:rsidRPr="00DE3226">
        <w:rPr>
          <w:color w:val="000000"/>
          <w:shd w:val="clear" w:color="auto" w:fill="FFFFFF"/>
        </w:rPr>
        <w:t>the Brain</w:t>
      </w:r>
    </w:p>
    <w:p w14:paraId="6F6F4706" w14:textId="10AACED7" w:rsidR="004C26AB" w:rsidRPr="00DE3226" w:rsidRDefault="004C26AB" w:rsidP="004C26AB">
      <w:pPr>
        <w:rPr>
          <w:color w:val="000000"/>
          <w:shd w:val="clear" w:color="auto" w:fill="FFFFFF"/>
        </w:rPr>
      </w:pPr>
      <w:r w:rsidRPr="00DE3226">
        <w:rPr>
          <w:color w:val="000000"/>
          <w:shd w:val="clear" w:color="auto" w:fill="FFFFFF"/>
        </w:rPr>
        <w:tab/>
        <w:t>Already submitted</w:t>
      </w:r>
      <w:r w:rsidR="0009069C">
        <w:rPr>
          <w:color w:val="000000"/>
          <w:shd w:val="clear" w:color="auto" w:fill="FFFFFF"/>
        </w:rPr>
        <w:t xml:space="preserve"> and approved</w:t>
      </w:r>
    </w:p>
    <w:p w14:paraId="6CE277B3" w14:textId="77777777" w:rsidR="004C26AB" w:rsidRPr="00DE3226" w:rsidRDefault="004C26AB" w:rsidP="004C26AB">
      <w:pPr>
        <w:rPr>
          <w:color w:val="000000"/>
          <w:shd w:val="clear" w:color="auto" w:fill="FFFFFF"/>
        </w:rPr>
      </w:pPr>
    </w:p>
    <w:p w14:paraId="47171067" w14:textId="41A8CF4A" w:rsidR="004C26AB" w:rsidRPr="00DE3226" w:rsidRDefault="004C26AB" w:rsidP="004C26AB">
      <w:pPr>
        <w:rPr>
          <w:color w:val="000000"/>
          <w:shd w:val="clear" w:color="auto" w:fill="FFFFFF"/>
        </w:rPr>
      </w:pPr>
      <w:r w:rsidRPr="00DE3226">
        <w:rPr>
          <w:color w:val="000000"/>
          <w:shd w:val="clear" w:color="auto" w:fill="FFFFFF"/>
        </w:rPr>
        <w:t>LAS</w:t>
      </w:r>
      <w:r w:rsidR="00DC520B" w:rsidRPr="00DE3226">
        <w:rPr>
          <w:color w:val="000000"/>
          <w:shd w:val="clear" w:color="auto" w:fill="FFFFFF"/>
        </w:rPr>
        <w:t xml:space="preserve"> </w:t>
      </w:r>
      <w:r w:rsidRPr="00DE3226">
        <w:rPr>
          <w:color w:val="000000"/>
          <w:shd w:val="clear" w:color="auto" w:fill="FFFFFF"/>
        </w:rPr>
        <w:t>195: Perspectives of Health, Healthcare, and Well-being in Latin America</w:t>
      </w:r>
    </w:p>
    <w:p w14:paraId="30DDCEC7" w14:textId="0FA6A25A" w:rsidR="004C26AB" w:rsidRDefault="004C26AB" w:rsidP="00820353">
      <w:pPr>
        <w:rPr>
          <w:color w:val="000000"/>
          <w:shd w:val="clear" w:color="auto" w:fill="FFFFFF"/>
        </w:rPr>
      </w:pPr>
      <w:r w:rsidRPr="00DE3226">
        <w:rPr>
          <w:color w:val="000000"/>
          <w:shd w:val="clear" w:color="auto" w:fill="FFFFFF"/>
        </w:rPr>
        <w:tab/>
        <w:t>Already submitted</w:t>
      </w:r>
      <w:r w:rsidR="006963E3">
        <w:rPr>
          <w:color w:val="000000"/>
          <w:shd w:val="clear" w:color="auto" w:fill="FFFFFF"/>
        </w:rPr>
        <w:t xml:space="preserve"> and approved</w:t>
      </w:r>
    </w:p>
    <w:p w14:paraId="3E30305B" w14:textId="77777777" w:rsidR="00D84C99" w:rsidRPr="00DE3226" w:rsidRDefault="00D84C99" w:rsidP="001506F0">
      <w:pPr>
        <w:pStyle w:val="BodyA"/>
        <w:suppressAutoHyphens/>
        <w:rPr>
          <w:rStyle w:val="PageNumber"/>
          <w:rFonts w:ascii="Times New Roman" w:hAnsi="Times New Roman" w:cs="Times New Roman"/>
        </w:rPr>
      </w:pPr>
    </w:p>
    <w:p w14:paraId="19D52138" w14:textId="5B66F05E" w:rsidR="00EF0269" w:rsidRPr="00DE3226" w:rsidRDefault="00EF0269" w:rsidP="00C855B8">
      <w:pPr>
        <w:pStyle w:val="ListParagraph"/>
        <w:numPr>
          <w:ilvl w:val="0"/>
          <w:numId w:val="4"/>
        </w:numPr>
        <w:rPr>
          <w:rFonts w:ascii="Times New Roman" w:hAnsi="Times New Roman" w:cs="Times New Roman"/>
          <w:b/>
          <w:bCs/>
        </w:rPr>
      </w:pPr>
      <w:r w:rsidRPr="00DE3226">
        <w:rPr>
          <w:rFonts w:ascii="Times New Roman" w:hAnsi="Times New Roman" w:cs="Times New Roman"/>
          <w:b/>
          <w:bCs/>
        </w:rPr>
        <w:t>Analysis of the Need/Market (</w:t>
      </w:r>
      <w:r w:rsidRPr="00DE3226">
        <w:rPr>
          <w:rFonts w:ascii="Times New Roman" w:hAnsi="Times New Roman" w:cs="Times New Roman"/>
          <w:b/>
          <w:bCs/>
          <w:i/>
        </w:rPr>
        <w:t>Source(s) of data must be included</w:t>
      </w:r>
      <w:r w:rsidRPr="00DE3226">
        <w:rPr>
          <w:rFonts w:ascii="Times New Roman" w:hAnsi="Times New Roman" w:cs="Times New Roman"/>
          <w:b/>
          <w:bCs/>
        </w:rPr>
        <w:t>)</w:t>
      </w:r>
    </w:p>
    <w:p w14:paraId="532BD524" w14:textId="77777777" w:rsidR="00C855B8" w:rsidRPr="00DE3226" w:rsidRDefault="00C855B8" w:rsidP="00EF0269">
      <w:pPr>
        <w:rPr>
          <w:b/>
          <w:bCs/>
        </w:rPr>
      </w:pPr>
    </w:p>
    <w:p w14:paraId="20682E13" w14:textId="0C5926A2" w:rsidR="00EF0269" w:rsidRPr="00DE3226" w:rsidRDefault="00EF0269" w:rsidP="00C855B8">
      <w:pPr>
        <w:ind w:firstLine="360"/>
        <w:rPr>
          <w:b/>
          <w:bCs/>
        </w:rPr>
      </w:pPr>
      <w:r w:rsidRPr="00DE3226">
        <w:rPr>
          <w:b/>
          <w:bCs/>
        </w:rPr>
        <w:t>Demonstration of Need</w:t>
      </w:r>
    </w:p>
    <w:p w14:paraId="6C4B54E8" w14:textId="269C8360" w:rsidR="00EF0269" w:rsidRPr="00DE3226" w:rsidRDefault="00EF0269" w:rsidP="001506F0">
      <w:r w:rsidRPr="00DE3226">
        <w:tab/>
      </w:r>
    </w:p>
    <w:p w14:paraId="21054809" w14:textId="3C1F7E1E" w:rsidR="00EF0269" w:rsidRPr="00DE3226" w:rsidRDefault="00EF0269" w:rsidP="0009069C">
      <w:pPr>
        <w:rPr>
          <w:rStyle w:val="PageNumber"/>
        </w:rPr>
      </w:pPr>
      <w:r w:rsidRPr="00DE3226">
        <w:rPr>
          <w:rStyle w:val="PageNumber"/>
        </w:rPr>
        <w:t>The increasing number of medical and health humanities degrees in higher education both nationally and internationally demonstrates global recognition of the role of empathy in more holistic understandings of health and well-being among caregivers and within healthcare institutions.</w:t>
      </w:r>
      <w:r w:rsidR="003E7FC4" w:rsidRPr="00DE3226">
        <w:rPr>
          <w:rFonts w:eastAsia="Arial Unicode MS"/>
        </w:rPr>
        <w:t xml:space="preserve"> Health humanities programs for undergraduates have quadrupled since 2000, as Beth Howard reports in </w:t>
      </w:r>
      <w:proofErr w:type="spellStart"/>
      <w:r w:rsidR="003E7FC4" w:rsidRPr="00DE3226">
        <w:rPr>
          <w:rStyle w:val="PageNumber"/>
          <w:rFonts w:eastAsia="Arial Unicode MS"/>
          <w:i/>
          <w:iCs/>
        </w:rPr>
        <w:t>AAMCNe</w:t>
      </w:r>
      <w:r w:rsidR="00DD3432" w:rsidRPr="00DE3226">
        <w:rPr>
          <w:rStyle w:val="PageNumber"/>
          <w:rFonts w:eastAsia="Arial Unicode MS"/>
          <w:i/>
          <w:iCs/>
        </w:rPr>
        <w:t>ws</w:t>
      </w:r>
      <w:proofErr w:type="spellEnd"/>
      <w:r w:rsidR="00DD3432" w:rsidRPr="00DE3226">
        <w:rPr>
          <w:rStyle w:val="PageNumber"/>
          <w:rFonts w:eastAsia="Arial Unicode MS"/>
          <w:i/>
          <w:iCs/>
        </w:rPr>
        <w:t>.</w:t>
      </w:r>
      <w:r w:rsidRPr="00DE3226">
        <w:rPr>
          <w:rStyle w:val="PageNumber"/>
          <w:vertAlign w:val="superscript"/>
        </w:rPr>
        <w:footnoteReference w:id="17"/>
      </w:r>
    </w:p>
    <w:p w14:paraId="62A94F91" w14:textId="77777777" w:rsidR="003E7FC4" w:rsidRPr="00DE3226" w:rsidRDefault="003E7FC4" w:rsidP="001506F0">
      <w:pPr>
        <w:rPr>
          <w:rStyle w:val="PageNumber"/>
        </w:rPr>
      </w:pPr>
    </w:p>
    <w:p w14:paraId="145E66C3" w14:textId="12828EF5" w:rsidR="000F0DCB" w:rsidRPr="00DE3226" w:rsidRDefault="000F0DCB" w:rsidP="00C855B8">
      <w:pPr>
        <w:pStyle w:val="BodyA"/>
        <w:suppressAutoHyphens/>
        <w:rPr>
          <w:rStyle w:val="PageNumber"/>
          <w:rFonts w:ascii="Times New Roman" w:eastAsia="Times New Roman" w:hAnsi="Times New Roman" w:cs="Times New Roman"/>
        </w:rPr>
      </w:pPr>
      <w:r w:rsidRPr="00DE3226">
        <w:rPr>
          <w:rStyle w:val="PageNumber"/>
          <w:rFonts w:ascii="Times New Roman" w:hAnsi="Times New Roman" w:cs="Times New Roman"/>
        </w:rPr>
        <w:t>The HH concentration will further The University of Scranton’s mission to serve the city of Scranton’s diverse community and to promote justice, compassion, and integrity. Moreover, the concentration will res</w:t>
      </w:r>
      <w:r w:rsidR="00C855B8" w:rsidRPr="00DE3226">
        <w:rPr>
          <w:rStyle w:val="PageNumber"/>
          <w:rFonts w:ascii="Times New Roman" w:hAnsi="Times New Roman" w:cs="Times New Roman"/>
        </w:rPr>
        <w:t>pond to a pressing need for non</w:t>
      </w:r>
      <w:r w:rsidRPr="00DE3226">
        <w:rPr>
          <w:rStyle w:val="PageNumber"/>
          <w:rFonts w:ascii="Times New Roman" w:hAnsi="Times New Roman" w:cs="Times New Roman"/>
        </w:rPr>
        <w:t xml:space="preserve">hegemonic, humanistic understandings of health, healthcare, and well-being in higher education and in medical practice. For example, in 2017, the textbook </w:t>
      </w:r>
      <w:r w:rsidRPr="00DE3226">
        <w:rPr>
          <w:rStyle w:val="PageNumber"/>
          <w:rFonts w:ascii="Times New Roman" w:hAnsi="Times New Roman" w:cs="Times New Roman"/>
          <w:i/>
          <w:iCs/>
        </w:rPr>
        <w:t>Nursing: A Concept-Based Approach to Learning</w:t>
      </w:r>
      <w:r w:rsidRPr="00DE3226">
        <w:rPr>
          <w:rStyle w:val="PageNumber"/>
          <w:rFonts w:ascii="Times New Roman" w:hAnsi="Times New Roman" w:cs="Times New Roman"/>
        </w:rPr>
        <w:t xml:space="preserve"> was the object of critical scrutiny within the health professions academic community, forcing publishing company Pearson Education to formally apologize and issue a recall. Beneath the heading “Cultural Differences in Response to Pain,” the text asserted a number of racial and ethnic stereotypes, effectively reproducing the stigmatization of the communities represented (e.g., “Arabs/Muslims,” “Asians,” and “Blacks”) and validating reductive means of observing the world and deriving knowledge from those observations. The highlighted assertions included that “Hispanics may believe that pain is a form of punishment and that suffering must be endured if they are to enter heaven,” that “Jews may be vocal and demanding of assistance,” and that “Blacks often </w:t>
      </w:r>
      <w:r w:rsidRPr="00DE3226">
        <w:rPr>
          <w:rStyle w:val="PageNumber"/>
          <w:rFonts w:ascii="Times New Roman" w:hAnsi="Times New Roman" w:cs="Times New Roman"/>
        </w:rPr>
        <w:lastRenderedPageBreak/>
        <w:t>report higher pain intensity than other cultures.”</w:t>
      </w:r>
      <w:r w:rsidRPr="00DE3226">
        <w:rPr>
          <w:rStyle w:val="PageNumber"/>
          <w:rFonts w:ascii="Times New Roman" w:hAnsi="Times New Roman" w:cs="Times New Roman"/>
          <w:vertAlign w:val="superscript"/>
        </w:rPr>
        <w:t xml:space="preserve"> </w:t>
      </w:r>
      <w:r w:rsidRPr="00DE3226">
        <w:rPr>
          <w:rStyle w:val="PageNumber"/>
          <w:rFonts w:ascii="Times New Roman" w:eastAsia="Times New Roman" w:hAnsi="Times New Roman" w:cs="Times New Roman"/>
          <w:vertAlign w:val="superscript"/>
        </w:rPr>
        <w:footnoteReference w:id="18"/>
      </w:r>
      <w:r w:rsidRPr="00DE3226">
        <w:rPr>
          <w:rStyle w:val="PageNumber"/>
          <w:rFonts w:ascii="Times New Roman" w:hAnsi="Times New Roman" w:cs="Times New Roman"/>
        </w:rPr>
        <w:t xml:space="preserve"> This one textbook’s deficient approach to topics of diversity reflects a greater need for changes in curricula nationwide.</w:t>
      </w:r>
    </w:p>
    <w:p w14:paraId="04990EB3" w14:textId="77777777" w:rsidR="000F0DCB" w:rsidRPr="00DE3226" w:rsidRDefault="000F0DCB" w:rsidP="00137700">
      <w:pPr>
        <w:rPr>
          <w:rStyle w:val="PageNumber"/>
        </w:rPr>
      </w:pPr>
    </w:p>
    <w:p w14:paraId="7ED5A3EB" w14:textId="78627900" w:rsidR="00137700" w:rsidRPr="00DE3226" w:rsidRDefault="003E7FC4" w:rsidP="00137700">
      <w:r w:rsidRPr="00DE3226">
        <w:rPr>
          <w:rStyle w:val="PageNumber"/>
        </w:rPr>
        <w:t xml:space="preserve">The University of Scranton has many </w:t>
      </w:r>
      <w:r w:rsidR="00D234F3" w:rsidRPr="00DE3226">
        <w:rPr>
          <w:rStyle w:val="PageNumber"/>
        </w:rPr>
        <w:t>pre-</w:t>
      </w:r>
      <w:r w:rsidRPr="00DE3226">
        <w:rPr>
          <w:rStyle w:val="PageNumber"/>
        </w:rPr>
        <w:t>professional degrees in the areas of health and healthcare, such as nursing, occupational therapy, and counseling and human services. Students in health administration</w:t>
      </w:r>
      <w:r w:rsidR="00137700" w:rsidRPr="00DE3226">
        <w:rPr>
          <w:rStyle w:val="PageNumber"/>
        </w:rPr>
        <w:t>, psychology,</w:t>
      </w:r>
      <w:r w:rsidRPr="00DE3226">
        <w:rPr>
          <w:rStyle w:val="PageNumber"/>
        </w:rPr>
        <w:t xml:space="preserve"> or the pre-medical programs will also benefit from a </w:t>
      </w:r>
      <w:r w:rsidR="00C855B8" w:rsidRPr="00DE3226">
        <w:rPr>
          <w:rStyle w:val="PageNumber"/>
        </w:rPr>
        <w:t xml:space="preserve">health </w:t>
      </w:r>
      <w:r w:rsidRPr="00DE3226">
        <w:rPr>
          <w:rStyle w:val="PageNumber"/>
        </w:rPr>
        <w:t xml:space="preserve">humanities concentration </w:t>
      </w:r>
      <w:r w:rsidR="00C855B8" w:rsidRPr="00DE3226">
        <w:rPr>
          <w:rStyle w:val="PageNumber"/>
        </w:rPr>
        <w:t xml:space="preserve">that </w:t>
      </w:r>
      <w:r w:rsidRPr="00DE3226">
        <w:rPr>
          <w:rStyle w:val="PageNumber"/>
        </w:rPr>
        <w:t xml:space="preserve">will complement </w:t>
      </w:r>
      <w:r w:rsidR="00137700" w:rsidRPr="00DE3226">
        <w:rPr>
          <w:rStyle w:val="PageNumber"/>
        </w:rPr>
        <w:t>their education</w:t>
      </w:r>
      <w:bookmarkStart w:id="0" w:name="_Hlk24820344"/>
      <w:r w:rsidR="00137700" w:rsidRPr="00DE3226">
        <w:rPr>
          <w:rStyle w:val="PageNumber"/>
        </w:rPr>
        <w:t>.</w:t>
      </w:r>
      <w:r w:rsidRPr="00DE3226">
        <w:rPr>
          <w:rStyle w:val="PageNumber"/>
        </w:rPr>
        <w:t xml:space="preserve"> </w:t>
      </w:r>
      <w:r w:rsidR="00E73364" w:rsidRPr="00DE3226">
        <w:rPr>
          <w:color w:val="000000"/>
        </w:rPr>
        <w:t>As Craig Krugman observes, i</w:t>
      </w:r>
      <w:r w:rsidR="004F4E18" w:rsidRPr="00DE3226">
        <w:rPr>
          <w:color w:val="000000"/>
        </w:rPr>
        <w:t>n the US, humanities majors generally have higher MCAT scor</w:t>
      </w:r>
      <w:r w:rsidR="00E73364" w:rsidRPr="00DE3226">
        <w:rPr>
          <w:color w:val="000000"/>
        </w:rPr>
        <w:t>es than those with other majors:</w:t>
      </w:r>
      <w:r w:rsidR="004F4E18" w:rsidRPr="00DE3226">
        <w:rPr>
          <w:color w:val="000000"/>
        </w:rPr>
        <w:t xml:space="preserve"> </w:t>
      </w:r>
      <w:r w:rsidR="00E73364" w:rsidRPr="00DE3226">
        <w:rPr>
          <w:color w:val="000000"/>
        </w:rPr>
        <w:t>“</w:t>
      </w:r>
      <w:r w:rsidR="00C855B8" w:rsidRPr="00DE3226">
        <w:rPr>
          <w:color w:val="000000"/>
        </w:rPr>
        <w:t>When</w:t>
      </w:r>
      <w:r w:rsidR="004F4E18" w:rsidRPr="00DE3226">
        <w:rPr>
          <w:color w:val="000000"/>
        </w:rPr>
        <w:t xml:space="preserve"> the MCAT </w:t>
      </w:r>
      <w:r w:rsidR="00C855B8" w:rsidRPr="00DE3226">
        <w:rPr>
          <w:color w:val="000000"/>
        </w:rPr>
        <w:t>was revised</w:t>
      </w:r>
      <w:r w:rsidR="004F4E18" w:rsidRPr="00DE3226">
        <w:rPr>
          <w:color w:val="000000"/>
        </w:rPr>
        <w:t xml:space="preserve"> in 2011, the Association of American Medical Colleges announced that the 2015 exam would reduce the percent</w:t>
      </w:r>
      <w:r w:rsidR="00C855B8" w:rsidRPr="00DE3226">
        <w:rPr>
          <w:color w:val="000000"/>
        </w:rPr>
        <w:t>age</w:t>
      </w:r>
      <w:r w:rsidR="004F4E18" w:rsidRPr="00DE3226">
        <w:rPr>
          <w:color w:val="000000"/>
        </w:rPr>
        <w:t xml:space="preserve"> of </w:t>
      </w:r>
      <w:r w:rsidR="00C855B8" w:rsidRPr="00DE3226">
        <w:rPr>
          <w:color w:val="000000"/>
        </w:rPr>
        <w:t>content testing in science</w:t>
      </w:r>
      <w:r w:rsidR="004F4E18" w:rsidRPr="00DE3226">
        <w:rPr>
          <w:color w:val="000000"/>
        </w:rPr>
        <w:t xml:space="preserve"> and add sections on human behavior/culture and logical</w:t>
      </w:r>
      <w:r w:rsidR="00C855B8" w:rsidRPr="00DE3226">
        <w:rPr>
          <w:color w:val="000000"/>
        </w:rPr>
        <w:t xml:space="preserve"> analysis/reasoning</w:t>
      </w:r>
      <w:r w:rsidR="00E73364" w:rsidRPr="00DE3226">
        <w:rPr>
          <w:color w:val="000000"/>
        </w:rPr>
        <w:t xml:space="preserve">. </w:t>
      </w:r>
      <w:r w:rsidR="004F4E18" w:rsidRPr="00DE3226">
        <w:rPr>
          <w:color w:val="000000"/>
        </w:rPr>
        <w:t xml:space="preserve">And outside </w:t>
      </w:r>
      <w:r w:rsidR="00C855B8" w:rsidRPr="00DE3226">
        <w:rPr>
          <w:color w:val="000000"/>
        </w:rPr>
        <w:t xml:space="preserve">of </w:t>
      </w:r>
      <w:r w:rsidR="004F4E18" w:rsidRPr="00DE3226">
        <w:rPr>
          <w:color w:val="000000"/>
        </w:rPr>
        <w:t xml:space="preserve">the United States, medical school entrance exams </w:t>
      </w:r>
      <w:r w:rsidR="00C855B8" w:rsidRPr="00DE3226">
        <w:rPr>
          <w:color w:val="000000"/>
        </w:rPr>
        <w:t xml:space="preserve">frequently </w:t>
      </w:r>
      <w:r w:rsidR="004F4E18" w:rsidRPr="00DE3226">
        <w:rPr>
          <w:color w:val="000000"/>
        </w:rPr>
        <w:t>focus on reasoning skills ra</w:t>
      </w:r>
      <w:r w:rsidR="00C855B8" w:rsidRPr="00DE3226">
        <w:rPr>
          <w:color w:val="000000"/>
        </w:rPr>
        <w:t>ther than scientific knowledge</w:t>
      </w:r>
      <w:r w:rsidR="00E73364" w:rsidRPr="00DE3226">
        <w:rPr>
          <w:color w:val="000000"/>
        </w:rPr>
        <w:t>”</w:t>
      </w:r>
      <w:r w:rsidR="008D658D" w:rsidRPr="00DE3226">
        <w:rPr>
          <w:color w:val="000000"/>
        </w:rPr>
        <w:t xml:space="preserve"> (20)</w:t>
      </w:r>
      <w:r w:rsidR="00DD3432" w:rsidRPr="00DE3226">
        <w:rPr>
          <w:color w:val="000000"/>
        </w:rPr>
        <w:t>.</w:t>
      </w:r>
      <w:r w:rsidR="00E73364" w:rsidRPr="00DE3226">
        <w:rPr>
          <w:rStyle w:val="FootnoteReference"/>
          <w:color w:val="000000"/>
        </w:rPr>
        <w:t xml:space="preserve"> </w:t>
      </w:r>
      <w:r w:rsidR="00E73364" w:rsidRPr="00DE3226">
        <w:rPr>
          <w:rStyle w:val="FootnoteReference"/>
          <w:color w:val="000000"/>
        </w:rPr>
        <w:footnoteReference w:id="19"/>
      </w:r>
      <w:r w:rsidR="00E73364" w:rsidRPr="00DE3226">
        <w:rPr>
          <w:color w:val="000000"/>
        </w:rPr>
        <w:t xml:space="preserve"> </w:t>
      </w:r>
      <w:r w:rsidR="00C96867">
        <w:rPr>
          <w:color w:val="000000"/>
        </w:rPr>
        <w:t>The</w:t>
      </w:r>
      <w:r w:rsidR="004F4E18" w:rsidRPr="00DE3226">
        <w:rPr>
          <w:color w:val="000000"/>
        </w:rPr>
        <w:t xml:space="preserve"> </w:t>
      </w:r>
      <w:r w:rsidR="00C96867">
        <w:rPr>
          <w:color w:val="000000"/>
        </w:rPr>
        <w:t>H</w:t>
      </w:r>
      <w:r w:rsidR="004F4E18" w:rsidRPr="00DE3226">
        <w:rPr>
          <w:color w:val="000000"/>
        </w:rPr>
        <w:t xml:space="preserve">ealth </w:t>
      </w:r>
      <w:r w:rsidR="00C96867">
        <w:rPr>
          <w:color w:val="000000"/>
        </w:rPr>
        <w:t>H</w:t>
      </w:r>
      <w:r w:rsidR="004F4E18" w:rsidRPr="00DE3226">
        <w:rPr>
          <w:color w:val="000000"/>
        </w:rPr>
        <w:t>umanities concentration will significantly help students</w:t>
      </w:r>
      <w:r w:rsidR="00C855B8" w:rsidRPr="00DE3226">
        <w:rPr>
          <w:color w:val="000000"/>
        </w:rPr>
        <w:t xml:space="preserve"> to</w:t>
      </w:r>
      <w:r w:rsidR="004F4E18" w:rsidRPr="00DE3226">
        <w:rPr>
          <w:color w:val="000000"/>
        </w:rPr>
        <w:t xml:space="preserve"> improve performance in the areas of verbal reasoning, decision making, situational judgement, interpersonal understanding, pattern identification, and intercultural competence. </w:t>
      </w:r>
    </w:p>
    <w:bookmarkEnd w:id="0"/>
    <w:p w14:paraId="64FE65BB" w14:textId="77777777" w:rsidR="00EF0269" w:rsidRPr="00DE3226" w:rsidRDefault="00EF0269" w:rsidP="001506F0">
      <w:pPr>
        <w:rPr>
          <w:rStyle w:val="PageNumber"/>
        </w:rPr>
      </w:pPr>
    </w:p>
    <w:p w14:paraId="0E919E6A" w14:textId="2A4FBFB5" w:rsidR="00EF0269" w:rsidRPr="00DE3226" w:rsidRDefault="004F4E18" w:rsidP="001506F0">
      <w:pPr>
        <w:rPr>
          <w:rStyle w:val="PageNumber"/>
        </w:rPr>
      </w:pPr>
      <w:r w:rsidRPr="00DE3226">
        <w:rPr>
          <w:rStyle w:val="PageNumber"/>
        </w:rPr>
        <w:t xml:space="preserve">In addition, the concentration has a </w:t>
      </w:r>
      <w:r w:rsidR="001127F6">
        <w:rPr>
          <w:rStyle w:val="PageNumber"/>
        </w:rPr>
        <w:t xml:space="preserve">world </w:t>
      </w:r>
      <w:r w:rsidRPr="00DE3226">
        <w:rPr>
          <w:rStyle w:val="PageNumber"/>
        </w:rPr>
        <w:t>language requirement to ensure students are proficient in a language other than English. T</w:t>
      </w:r>
      <w:r w:rsidR="00EF0269" w:rsidRPr="00DE3226">
        <w:rPr>
          <w:rStyle w:val="PageNumber"/>
        </w:rPr>
        <w:t>he need for bilingual healthcare providers in the United States, especially English-Spanish speakers, has dramatically increased in recent years. Among the 306 students registered in The University of Scranton Health Professions Organization in 2018, 57 are proficient or native speakers of a language other than English. Spanish accounts for 58% of these languages, followed by Hindi with 14%</w:t>
      </w:r>
      <w:r w:rsidR="008D658D" w:rsidRPr="00DE3226">
        <w:rPr>
          <w:rStyle w:val="PageNumber"/>
        </w:rPr>
        <w:t>.</w:t>
      </w:r>
      <w:r w:rsidR="008D658D" w:rsidRPr="00DE3226">
        <w:rPr>
          <w:rStyle w:val="FootnoteReference"/>
        </w:rPr>
        <w:footnoteReference w:id="20"/>
      </w:r>
      <w:r w:rsidR="00EF0269" w:rsidRPr="00DE3226">
        <w:rPr>
          <w:rStyle w:val="PageNumber"/>
        </w:rPr>
        <w:t xml:space="preserve"> While some of these students already volunteer at the Leahy Clinic as interpreters, they do not have a formal pedagogical framework to connect their experiences to other forms of knowledge informed by the humanities. The HH concentration will thus</w:t>
      </w:r>
      <w:r w:rsidR="00C855B8" w:rsidRPr="00DE3226">
        <w:rPr>
          <w:rStyle w:val="PageNumber"/>
        </w:rPr>
        <w:t xml:space="preserve"> also</w:t>
      </w:r>
      <w:r w:rsidR="00EF0269" w:rsidRPr="00DE3226">
        <w:rPr>
          <w:rStyle w:val="PageNumber"/>
        </w:rPr>
        <w:t xml:space="preserve"> address these student interpreters’ needs in its curriculum.</w:t>
      </w:r>
    </w:p>
    <w:p w14:paraId="0376F611" w14:textId="77777777" w:rsidR="00D84C99" w:rsidRPr="00DE3226" w:rsidRDefault="00D84C99" w:rsidP="001506F0">
      <w:pPr>
        <w:rPr>
          <w:rStyle w:val="PageNumber"/>
        </w:rPr>
      </w:pPr>
    </w:p>
    <w:p w14:paraId="05CAAE70" w14:textId="77777777" w:rsidR="00EF0269" w:rsidRPr="00DE3226" w:rsidRDefault="00D84C99" w:rsidP="003E7FC4">
      <w:pPr>
        <w:pStyle w:val="Default"/>
        <w:rPr>
          <w:rStyle w:val="PageNumber"/>
          <w:rFonts w:ascii="Times New Roman" w:hAnsi="Times New Roman" w:cs="Times New Roman"/>
          <w:sz w:val="24"/>
          <w:szCs w:val="24"/>
        </w:rPr>
      </w:pPr>
      <w:r w:rsidRPr="00DE3226">
        <w:rPr>
          <w:rStyle w:val="PageNumber"/>
          <w:rFonts w:ascii="Times New Roman" w:eastAsia="Times New Roman" w:hAnsi="Times New Roman" w:cs="Times New Roman"/>
          <w:sz w:val="24"/>
          <w:szCs w:val="24"/>
        </w:rPr>
        <w:t xml:space="preserve">Also inspired by the Jesuit values of service and the promotion of justice, </w:t>
      </w:r>
      <w:r w:rsidRPr="00DE3226">
        <w:rPr>
          <w:rStyle w:val="PageNumber"/>
          <w:rFonts w:ascii="Times New Roman" w:hAnsi="Times New Roman" w:cs="Times New Roman"/>
          <w:sz w:val="24"/>
          <w:szCs w:val="24"/>
        </w:rPr>
        <w:t xml:space="preserve">some of the courses offered within </w:t>
      </w:r>
      <w:r w:rsidRPr="00DE3226">
        <w:rPr>
          <w:rStyle w:val="PageNumber"/>
          <w:rFonts w:ascii="Times New Roman" w:eastAsia="Times New Roman" w:hAnsi="Times New Roman" w:cs="Times New Roman"/>
          <w:sz w:val="24"/>
          <w:szCs w:val="24"/>
        </w:rPr>
        <w:t xml:space="preserve">the HH concentration will </w:t>
      </w:r>
      <w:r w:rsidRPr="00DE3226">
        <w:rPr>
          <w:rStyle w:val="PageNumber"/>
          <w:rFonts w:ascii="Times New Roman" w:hAnsi="Times New Roman" w:cs="Times New Roman"/>
          <w:sz w:val="24"/>
          <w:szCs w:val="24"/>
        </w:rPr>
        <w:t>incorporate experiential learning requirements in ways that are designed to meet community-defined needs and emphasize place-based education. Scranton’s growing Hispanic population accounts for 13% of its total population,</w:t>
      </w:r>
      <w:r w:rsidRPr="00DE3226">
        <w:rPr>
          <w:rStyle w:val="PageNumber"/>
          <w:rFonts w:ascii="Times New Roman" w:eastAsia="Times New Roman" w:hAnsi="Times New Roman" w:cs="Times New Roman"/>
          <w:sz w:val="24"/>
          <w:szCs w:val="24"/>
          <w:vertAlign w:val="superscript"/>
        </w:rPr>
        <w:footnoteReference w:id="21"/>
      </w:r>
      <w:r w:rsidRPr="00DE3226">
        <w:rPr>
          <w:rStyle w:val="PageNumber"/>
          <w:rFonts w:ascii="Times New Roman" w:hAnsi="Times New Roman" w:cs="Times New Roman"/>
          <w:sz w:val="24"/>
          <w:szCs w:val="24"/>
        </w:rPr>
        <w:t xml:space="preserve"> a percentage that has grown by 3% since 2010.</w:t>
      </w:r>
      <w:r w:rsidRPr="00DE3226">
        <w:rPr>
          <w:rStyle w:val="PageNumber"/>
          <w:rFonts w:ascii="Times New Roman" w:eastAsia="Times New Roman" w:hAnsi="Times New Roman" w:cs="Times New Roman"/>
          <w:sz w:val="24"/>
          <w:szCs w:val="24"/>
          <w:vertAlign w:val="superscript"/>
        </w:rPr>
        <w:footnoteReference w:id="22"/>
      </w:r>
      <w:r w:rsidRPr="00DE3226">
        <w:rPr>
          <w:rStyle w:val="PageNumber"/>
          <w:rFonts w:ascii="Times New Roman" w:hAnsi="Times New Roman" w:cs="Times New Roman"/>
          <w:sz w:val="24"/>
          <w:szCs w:val="24"/>
        </w:rPr>
        <w:t xml:space="preserve"> In addition, the city has historically welcomed refugees from around the world, including more than 1,200 Bhutanese, 400 Meskhetian Turks, and several Syrian families since 2009.</w:t>
      </w:r>
      <w:r w:rsidRPr="00DE3226">
        <w:rPr>
          <w:rStyle w:val="PageNumber"/>
          <w:rFonts w:ascii="Times New Roman" w:eastAsia="Times New Roman" w:hAnsi="Times New Roman" w:cs="Times New Roman"/>
          <w:sz w:val="24"/>
          <w:szCs w:val="24"/>
          <w:vertAlign w:val="superscript"/>
        </w:rPr>
        <w:footnoteReference w:id="23"/>
      </w:r>
      <w:r w:rsidRPr="00DE3226">
        <w:rPr>
          <w:rStyle w:val="PageNumber"/>
          <w:rFonts w:ascii="Times New Roman" w:hAnsi="Times New Roman" w:cs="Times New Roman"/>
          <w:sz w:val="24"/>
          <w:szCs w:val="24"/>
        </w:rPr>
        <w:t xml:space="preserve"> The Leahy Community Health and Family Center at The University of Scranton provides free non-</w:t>
      </w:r>
      <w:r w:rsidRPr="00DE3226">
        <w:rPr>
          <w:rStyle w:val="PageNumber"/>
          <w:rFonts w:ascii="Times New Roman" w:hAnsi="Times New Roman" w:cs="Times New Roman"/>
          <w:sz w:val="24"/>
          <w:szCs w:val="24"/>
        </w:rPr>
        <w:lastRenderedPageBreak/>
        <w:t>emergency healthcare to uninsured Lackawanna County residents and strives to provide high-quality compassionate care for patients who represent dimensions of diversity that include national origin, ethnicity, and primary language</w:t>
      </w:r>
      <w:r w:rsidR="003E7FC4" w:rsidRPr="00DE3226">
        <w:rPr>
          <w:rStyle w:val="PageNumber"/>
          <w:rFonts w:ascii="Times New Roman" w:hAnsi="Times New Roman" w:cs="Times New Roman"/>
          <w:sz w:val="24"/>
          <w:szCs w:val="24"/>
        </w:rPr>
        <w:t xml:space="preserve">. </w:t>
      </w:r>
    </w:p>
    <w:p w14:paraId="7F4E09C3" w14:textId="77777777" w:rsidR="007A1C0C" w:rsidRDefault="007A1C0C" w:rsidP="00C855B8">
      <w:pPr>
        <w:ind w:firstLine="708"/>
        <w:rPr>
          <w:b/>
          <w:bCs/>
        </w:rPr>
      </w:pPr>
    </w:p>
    <w:p w14:paraId="65B7F548" w14:textId="5D862BE0" w:rsidR="00EF0269" w:rsidRPr="00DE3226" w:rsidRDefault="00EF0269" w:rsidP="00C855B8">
      <w:pPr>
        <w:ind w:firstLine="708"/>
        <w:rPr>
          <w:b/>
          <w:bCs/>
        </w:rPr>
      </w:pPr>
      <w:r w:rsidRPr="00DE3226">
        <w:rPr>
          <w:b/>
          <w:bCs/>
        </w:rPr>
        <w:t>Regional Competition</w:t>
      </w:r>
    </w:p>
    <w:p w14:paraId="5D49A7B1" w14:textId="77777777" w:rsidR="00EF0269" w:rsidRPr="00DE3226" w:rsidRDefault="00EF0269" w:rsidP="00EF0269">
      <w:pPr>
        <w:pStyle w:val="ListParagraph"/>
        <w:ind w:left="0"/>
        <w:rPr>
          <w:rFonts w:ascii="Times New Roman" w:hAnsi="Times New Roman" w:cs="Times New Roman"/>
        </w:rPr>
      </w:pPr>
    </w:p>
    <w:p w14:paraId="6DB317A6" w14:textId="3E525167" w:rsidR="00C169CA" w:rsidRPr="00DE3226" w:rsidRDefault="00EF0269" w:rsidP="00137700">
      <w:r w:rsidRPr="00DE3226">
        <w:t xml:space="preserve">There are </w:t>
      </w:r>
      <w:r w:rsidR="00C169CA" w:rsidRPr="00DE3226">
        <w:t>several</w:t>
      </w:r>
      <w:r w:rsidRPr="00DE3226">
        <w:t xml:space="preserve"> </w:t>
      </w:r>
      <w:r w:rsidR="00C855B8" w:rsidRPr="00DE3226">
        <w:t>comparable programs</w:t>
      </w:r>
      <w:r w:rsidRPr="00DE3226">
        <w:t xml:space="preserve"> in the Northeastern Pennsylvania </w:t>
      </w:r>
      <w:r w:rsidR="00C855B8" w:rsidRPr="00DE3226">
        <w:t>r</w:t>
      </w:r>
      <w:r w:rsidRPr="00DE3226">
        <w:t>egion.</w:t>
      </w:r>
      <w:r w:rsidR="00137700" w:rsidRPr="00DE3226">
        <w:t xml:space="preserve"> Since The University of Scranton currently does not offer programs in the health humanities field, students interested in the health professions could be tempted to attend other institutions</w:t>
      </w:r>
      <w:r w:rsidRPr="00DE3226">
        <w:t xml:space="preserve"> </w:t>
      </w:r>
      <w:r w:rsidR="00137700" w:rsidRPr="00DE3226">
        <w:t>in the area.</w:t>
      </w:r>
      <w:r w:rsidRPr="00DE3226">
        <w:t xml:space="preserve"> </w:t>
      </w:r>
      <w:r w:rsidR="00C169CA" w:rsidRPr="00DE3226">
        <w:t xml:space="preserve">Therefore, a Health Humanities concentration will make the University more competitive in attracting local students and students from New York, New Jersey, and Philadelphia </w:t>
      </w:r>
      <w:r w:rsidR="00FC5AEF" w:rsidRPr="00DE3226">
        <w:t>a</w:t>
      </w:r>
      <w:r w:rsidR="00C169CA" w:rsidRPr="00DE3226">
        <w:t>reas.</w:t>
      </w:r>
      <w:r w:rsidR="00C855B8" w:rsidRPr="00DE3226">
        <w:t xml:space="preserve"> Listed below are the most relevant programs with which a Health Humanities concentration at the University might compete:</w:t>
      </w:r>
    </w:p>
    <w:p w14:paraId="0A9F4028" w14:textId="77777777" w:rsidR="00C169CA" w:rsidRPr="00DE3226" w:rsidRDefault="00C169CA" w:rsidP="00137700"/>
    <w:p w14:paraId="1A6CF3F5" w14:textId="6530A7F4" w:rsidR="00C169CA" w:rsidRPr="00DE3226" w:rsidRDefault="003E7FC4" w:rsidP="00C855B8">
      <w:pPr>
        <w:ind w:left="708"/>
        <w:rPr>
          <w:color w:val="000000"/>
        </w:rPr>
      </w:pPr>
      <w:r w:rsidRPr="00DE3226">
        <w:rPr>
          <w:b/>
          <w:color w:val="000000"/>
        </w:rPr>
        <w:t>Lehigh University</w:t>
      </w:r>
      <w:r w:rsidRPr="00DE3226">
        <w:rPr>
          <w:color w:val="000000"/>
        </w:rPr>
        <w:t xml:space="preserve"> offers a B.S. in Health, Medicine, and Society. This program focuses on the social, scientific, and humanistic dimensions of health and medical care to develop an understanding of the impact of health, illness, and medical care on individuals, families, and societies.</w:t>
      </w:r>
      <w:r w:rsidR="00C855B8" w:rsidRPr="00DE3226">
        <w:rPr>
          <w:rStyle w:val="FootnoteReference"/>
          <w:color w:val="000000"/>
        </w:rPr>
        <w:footnoteReference w:id="24"/>
      </w:r>
      <w:r w:rsidRPr="00DE3226">
        <w:rPr>
          <w:color w:val="000000"/>
        </w:rPr>
        <w:t xml:space="preserve"> </w:t>
      </w:r>
    </w:p>
    <w:p w14:paraId="60D7C509" w14:textId="77777777" w:rsidR="00C169CA" w:rsidRPr="00DE3226" w:rsidRDefault="00C169CA" w:rsidP="00137700">
      <w:pPr>
        <w:rPr>
          <w:color w:val="000000"/>
        </w:rPr>
      </w:pPr>
    </w:p>
    <w:p w14:paraId="50AECB9A" w14:textId="08F4945A" w:rsidR="00C169CA" w:rsidRPr="00DE3226" w:rsidRDefault="003E7FC4" w:rsidP="00C855B8">
      <w:pPr>
        <w:ind w:left="708"/>
        <w:rPr>
          <w:color w:val="000000"/>
        </w:rPr>
      </w:pPr>
      <w:r w:rsidRPr="00DE3226">
        <w:rPr>
          <w:b/>
          <w:color w:val="000000"/>
        </w:rPr>
        <w:t>Penn State</w:t>
      </w:r>
      <w:r w:rsidRPr="00DE3226">
        <w:rPr>
          <w:color w:val="000000"/>
        </w:rPr>
        <w:t xml:space="preserve"> offers a minor in Bioethics and </w:t>
      </w:r>
      <w:r w:rsidR="00C855B8" w:rsidRPr="00DE3226">
        <w:rPr>
          <w:color w:val="000000"/>
        </w:rPr>
        <w:t>Medical H</w:t>
      </w:r>
      <w:r w:rsidRPr="00DE3226">
        <w:rPr>
          <w:color w:val="000000"/>
        </w:rPr>
        <w:t>umanities that requires 18 credits.</w:t>
      </w:r>
      <w:r w:rsidR="00C855B8" w:rsidRPr="00DE3226">
        <w:rPr>
          <w:rStyle w:val="FootnoteReference"/>
          <w:color w:val="000000"/>
        </w:rPr>
        <w:footnoteReference w:id="25"/>
      </w:r>
      <w:r w:rsidRPr="00DE3226">
        <w:rPr>
          <w:color w:val="000000"/>
        </w:rPr>
        <w:t xml:space="preserve"> </w:t>
      </w:r>
    </w:p>
    <w:p w14:paraId="2FB0446D" w14:textId="7C83C9D2" w:rsidR="00C169CA" w:rsidRPr="00DE3226" w:rsidRDefault="00C169CA" w:rsidP="00137700">
      <w:pPr>
        <w:rPr>
          <w:color w:val="000000"/>
        </w:rPr>
      </w:pPr>
    </w:p>
    <w:p w14:paraId="183DCE76" w14:textId="32C9DA03" w:rsidR="00C169CA" w:rsidRPr="00DE3226" w:rsidRDefault="003E7FC4" w:rsidP="00C855B8">
      <w:pPr>
        <w:ind w:left="708"/>
      </w:pPr>
      <w:r w:rsidRPr="00DE3226">
        <w:rPr>
          <w:b/>
          <w:color w:val="000000"/>
        </w:rPr>
        <w:t>Misericordia University offers</w:t>
      </w:r>
      <w:r w:rsidRPr="00DE3226">
        <w:rPr>
          <w:color w:val="000000"/>
        </w:rPr>
        <w:t xml:space="preserve"> a degree i</w:t>
      </w:r>
      <w:r w:rsidR="00C855B8" w:rsidRPr="00DE3226">
        <w:rPr>
          <w:color w:val="000000"/>
        </w:rPr>
        <w:t xml:space="preserve">n Medical and Health Humanities and describes the purpose as follows: </w:t>
      </w:r>
      <w:r w:rsidRPr="00DE3226">
        <w:rPr>
          <w:color w:val="000000"/>
        </w:rPr>
        <w:t>“The Medical and Health Humanities program applies humanistic skills— critical assessment, reflective learning, collaborative problem-solving, and effective communication—to issues in healthcare and medicine and with an emphasis on cultural, familial, philosophical, spiritual, and social factors.”</w:t>
      </w:r>
      <w:r w:rsidR="00C855B8" w:rsidRPr="00DE3226">
        <w:rPr>
          <w:rStyle w:val="FootnoteReference"/>
          <w:color w:val="000000"/>
        </w:rPr>
        <w:footnoteReference w:id="26"/>
      </w:r>
      <w:r w:rsidR="00EF0269" w:rsidRPr="00DE3226">
        <w:t xml:space="preserve"> </w:t>
      </w:r>
    </w:p>
    <w:p w14:paraId="52E1FE6D" w14:textId="77777777" w:rsidR="00C169CA" w:rsidRPr="00DE3226" w:rsidRDefault="00C169CA" w:rsidP="00137700">
      <w:pPr>
        <w:rPr>
          <w:color w:val="000000"/>
        </w:rPr>
      </w:pPr>
    </w:p>
    <w:p w14:paraId="42EA7403" w14:textId="71CE1670" w:rsidR="00C169CA" w:rsidRPr="00DE3226" w:rsidRDefault="00C169CA" w:rsidP="00C855B8">
      <w:pPr>
        <w:ind w:left="708"/>
        <w:rPr>
          <w:color w:val="000000"/>
        </w:rPr>
      </w:pPr>
      <w:r w:rsidRPr="00DE3226">
        <w:rPr>
          <w:b/>
          <w:color w:val="000000"/>
        </w:rPr>
        <w:t>Montclair State</w:t>
      </w:r>
      <w:r w:rsidR="00C855B8" w:rsidRPr="00DE3226">
        <w:rPr>
          <w:b/>
          <w:color w:val="000000"/>
        </w:rPr>
        <w:t xml:space="preserve"> University</w:t>
      </w:r>
      <w:r w:rsidRPr="00DE3226">
        <w:rPr>
          <w:color w:val="000000"/>
        </w:rPr>
        <w:t xml:space="preserve"> in NJ offers a </w:t>
      </w:r>
      <w:r w:rsidR="00C855B8" w:rsidRPr="00DE3226">
        <w:rPr>
          <w:color w:val="000000"/>
        </w:rPr>
        <w:t xml:space="preserve">40-credit </w:t>
      </w:r>
      <w:r w:rsidRPr="00DE3226">
        <w:rPr>
          <w:color w:val="000000"/>
        </w:rPr>
        <w:t>degree in Medical Humanities described as a program that “investigates the human e</w:t>
      </w:r>
      <w:r w:rsidR="00C855B8" w:rsidRPr="00DE3226">
        <w:rPr>
          <w:color w:val="000000"/>
        </w:rPr>
        <w:t>xperience of health and illness” in which “[m]</w:t>
      </w:r>
      <w:proofErr w:type="spellStart"/>
      <w:r w:rsidRPr="00DE3226">
        <w:rPr>
          <w:color w:val="000000"/>
        </w:rPr>
        <w:t>ajors</w:t>
      </w:r>
      <w:proofErr w:type="spellEnd"/>
      <w:r w:rsidRPr="00DE3226">
        <w:rPr>
          <w:color w:val="000000"/>
        </w:rPr>
        <w:t xml:space="preserve"> explore such diverse subjects as the ethics of care, patient advocacy, body image, narrative medicine, disabilities rights, medical racism, reproductive autonomy, genetic counseling, arts-based therapies, public health, health policy and the nature of death and dying.”</w:t>
      </w:r>
      <w:r w:rsidR="00C855B8" w:rsidRPr="00DE3226">
        <w:rPr>
          <w:rStyle w:val="FootnoteReference"/>
          <w:color w:val="000000"/>
        </w:rPr>
        <w:footnoteReference w:id="27"/>
      </w:r>
      <w:r w:rsidRPr="00DE3226">
        <w:rPr>
          <w:color w:val="000000"/>
        </w:rPr>
        <w:t xml:space="preserve"> </w:t>
      </w:r>
    </w:p>
    <w:p w14:paraId="37717DD1" w14:textId="77777777" w:rsidR="00C169CA" w:rsidRPr="00DE3226" w:rsidRDefault="00C169CA" w:rsidP="00137700">
      <w:pPr>
        <w:rPr>
          <w:color w:val="000000"/>
        </w:rPr>
      </w:pPr>
    </w:p>
    <w:p w14:paraId="1D2712F0" w14:textId="4C60EDB9" w:rsidR="00C169CA" w:rsidRPr="00DE3226" w:rsidRDefault="00C169CA" w:rsidP="00C855B8">
      <w:pPr>
        <w:ind w:left="708"/>
        <w:rPr>
          <w:color w:val="000000"/>
        </w:rPr>
      </w:pPr>
      <w:r w:rsidRPr="00DE3226">
        <w:rPr>
          <w:b/>
          <w:color w:val="000000"/>
        </w:rPr>
        <w:t>Boston College</w:t>
      </w:r>
      <w:r w:rsidRPr="00DE3226">
        <w:rPr>
          <w:color w:val="000000"/>
        </w:rPr>
        <w:t xml:space="preserve"> offe</w:t>
      </w:r>
      <w:r w:rsidR="000660D5" w:rsidRPr="00DE3226">
        <w:rPr>
          <w:color w:val="000000"/>
        </w:rPr>
        <w:t>rs a minor in Medical Humanities, described as “</w:t>
      </w:r>
      <w:r w:rsidRPr="00DE3226">
        <w:rPr>
          <w:color w:val="000000"/>
        </w:rPr>
        <w:t>an interdisciplinary, humanistic and cultural study of illness, he</w:t>
      </w:r>
      <w:r w:rsidR="000660D5" w:rsidRPr="00DE3226">
        <w:rPr>
          <w:color w:val="000000"/>
        </w:rPr>
        <w:t>alth, health care, and the body” for which</w:t>
      </w:r>
      <w:r w:rsidRPr="00DE3226">
        <w:rPr>
          <w:color w:val="000000"/>
        </w:rPr>
        <w:t xml:space="preserve"> </w:t>
      </w:r>
      <w:r w:rsidR="000660D5" w:rsidRPr="00DE3226">
        <w:rPr>
          <w:color w:val="000000"/>
        </w:rPr>
        <w:t>students take coursework</w:t>
      </w:r>
      <w:r w:rsidRPr="00DE3226">
        <w:rPr>
          <w:color w:val="000000"/>
        </w:rPr>
        <w:t xml:space="preserve"> </w:t>
      </w:r>
      <w:r w:rsidR="000660D5" w:rsidRPr="00DE3226">
        <w:rPr>
          <w:color w:val="000000"/>
        </w:rPr>
        <w:t>“</w:t>
      </w:r>
      <w:r w:rsidRPr="00DE3226">
        <w:rPr>
          <w:color w:val="000000"/>
        </w:rPr>
        <w:t xml:space="preserve">from a range of departments in Arts and Sciences, from the social sciences and the humanities as well as the natural </w:t>
      </w:r>
      <w:r w:rsidRPr="00DE3226">
        <w:rPr>
          <w:color w:val="000000"/>
        </w:rPr>
        <w:lastRenderedPageBreak/>
        <w:t>sciences.</w:t>
      </w:r>
      <w:r w:rsidR="000660D5" w:rsidRPr="00DE3226">
        <w:rPr>
          <w:color w:val="000000"/>
        </w:rPr>
        <w:t>”</w:t>
      </w:r>
      <w:r w:rsidRPr="00DE3226">
        <w:rPr>
          <w:color w:val="000000"/>
        </w:rPr>
        <w:t xml:space="preserve"> </w:t>
      </w:r>
      <w:r w:rsidR="000660D5" w:rsidRPr="00DE3226">
        <w:rPr>
          <w:color w:val="000000"/>
        </w:rPr>
        <w:t>Boston College connects the minor to its “</w:t>
      </w:r>
      <w:r w:rsidRPr="00DE3226">
        <w:rPr>
          <w:color w:val="000000"/>
        </w:rPr>
        <w:t xml:space="preserve">commitment to social justice, ethics, </w:t>
      </w:r>
      <w:r w:rsidR="000660D5" w:rsidRPr="00DE3226">
        <w:rPr>
          <w:color w:val="000000"/>
        </w:rPr>
        <w:t>and care for the whole person.”</w:t>
      </w:r>
      <w:r w:rsidR="000660D5" w:rsidRPr="00DE3226">
        <w:rPr>
          <w:rStyle w:val="FootnoteReference"/>
          <w:color w:val="000000"/>
        </w:rPr>
        <w:footnoteReference w:id="28"/>
      </w:r>
    </w:p>
    <w:p w14:paraId="7F0E431F" w14:textId="77777777" w:rsidR="00C169CA" w:rsidRPr="00DE3226" w:rsidRDefault="00C169CA" w:rsidP="00137700"/>
    <w:p w14:paraId="6131F678" w14:textId="4E6A2970" w:rsidR="00C169CA" w:rsidRPr="00DE3226" w:rsidRDefault="00C169CA" w:rsidP="00C855B8">
      <w:pPr>
        <w:ind w:left="708"/>
        <w:rPr>
          <w:color w:val="000000"/>
        </w:rPr>
      </w:pPr>
      <w:r w:rsidRPr="00DE3226">
        <w:rPr>
          <w:b/>
          <w:color w:val="000000"/>
        </w:rPr>
        <w:t>St. Joseph’s University</w:t>
      </w:r>
      <w:r w:rsidRPr="00DE3226">
        <w:rPr>
          <w:color w:val="000000"/>
        </w:rPr>
        <w:t xml:space="preserve"> has actually just established a School of Health Studies and Education that offers over 40 different degrees and/or certifications. Among these is an Interdisciplinary Health Services minor. This minor requires 18 </w:t>
      </w:r>
      <w:r w:rsidR="000660D5" w:rsidRPr="00DE3226">
        <w:rPr>
          <w:color w:val="000000"/>
        </w:rPr>
        <w:t>credits (6 classes).</w:t>
      </w:r>
      <w:r w:rsidR="000660D5" w:rsidRPr="00DE3226">
        <w:rPr>
          <w:rStyle w:val="FootnoteReference"/>
          <w:color w:val="000000"/>
        </w:rPr>
        <w:footnoteReference w:id="29"/>
      </w:r>
      <w:r w:rsidRPr="00DE3226">
        <w:rPr>
          <w:color w:val="000000"/>
        </w:rPr>
        <w:t xml:space="preserve"> </w:t>
      </w:r>
    </w:p>
    <w:p w14:paraId="7A204F88" w14:textId="14DE1BA8" w:rsidR="00C169CA" w:rsidRPr="00DE3226" w:rsidRDefault="00C169CA" w:rsidP="00137700">
      <w:pPr>
        <w:rPr>
          <w:color w:val="000000"/>
        </w:rPr>
      </w:pPr>
      <w:r w:rsidRPr="00DE3226">
        <w:rPr>
          <w:color w:val="000000"/>
        </w:rPr>
        <w:br/>
      </w:r>
      <w:r w:rsidRPr="00DE3226">
        <w:rPr>
          <w:rStyle w:val="PageNumber"/>
        </w:rPr>
        <w:t>U</w:t>
      </w:r>
      <w:r w:rsidR="00D84C99" w:rsidRPr="00DE3226">
        <w:rPr>
          <w:rStyle w:val="PageNumber"/>
        </w:rPr>
        <w:t>nlike other health humanities and medical humanities degrees offered by comparable institutions in the region, The University of Scranton’s HH concentration will place a special emphasis on the role of intercultural and diversity competence in healthcare settings and medical encounters</w:t>
      </w:r>
      <w:r w:rsidR="00D84C99" w:rsidRPr="00DE3226">
        <w:t xml:space="preserve">. </w:t>
      </w:r>
      <w:r w:rsidRPr="00DE3226">
        <w:t>The University with its long and respect</w:t>
      </w:r>
      <w:r w:rsidR="000C7B59" w:rsidRPr="00DE3226">
        <w:t>ed</w:t>
      </w:r>
      <w:r w:rsidRPr="00DE3226">
        <w:t xml:space="preserve"> tradition of academic excellence and commitment to peace and justice already has multiple resources in place</w:t>
      </w:r>
      <w:r w:rsidR="000660D5" w:rsidRPr="00DE3226">
        <w:t xml:space="preserve"> to cultivate this emphasis</w:t>
      </w:r>
      <w:r w:rsidRPr="00DE3226">
        <w:t xml:space="preserve">. </w:t>
      </w:r>
      <w:r w:rsidR="000660D5" w:rsidRPr="00DE3226">
        <w:t xml:space="preserve">We anticipate </w:t>
      </w:r>
      <w:r w:rsidR="00783C6A" w:rsidRPr="00DE3226">
        <w:t>the concentration will add high impact practices to student formation</w:t>
      </w:r>
      <w:r w:rsidR="000660D5" w:rsidRPr="00DE3226">
        <w:t>, and t</w:t>
      </w:r>
      <w:r w:rsidRPr="00DE3226">
        <w:t>he University is well positioned to offer this new program with zero to little additional c</w:t>
      </w:r>
      <w:r w:rsidR="000660D5" w:rsidRPr="00DE3226">
        <w:t>ost.</w:t>
      </w:r>
      <w:r w:rsidR="00390F6E" w:rsidRPr="00DE3226">
        <w:rPr>
          <w:rStyle w:val="FootnoteReference"/>
        </w:rPr>
        <w:footnoteReference w:id="30"/>
      </w:r>
    </w:p>
    <w:p w14:paraId="6F7088D9" w14:textId="77777777" w:rsidR="00271332" w:rsidRPr="00DE3226" w:rsidRDefault="00271332" w:rsidP="00137700"/>
    <w:p w14:paraId="10A43259" w14:textId="532E747B" w:rsidR="00EF0269" w:rsidRPr="00DE3226" w:rsidRDefault="00EF0269" w:rsidP="000660D5">
      <w:pPr>
        <w:ind w:firstLine="708"/>
        <w:rPr>
          <w:b/>
          <w:bCs/>
        </w:rPr>
      </w:pPr>
      <w:r w:rsidRPr="00DE3226">
        <w:rPr>
          <w:b/>
          <w:bCs/>
        </w:rPr>
        <w:t>Anticipated Enrollment</w:t>
      </w:r>
    </w:p>
    <w:p w14:paraId="383762DC" w14:textId="77777777" w:rsidR="000660D5" w:rsidRPr="00DE3226" w:rsidRDefault="000660D5" w:rsidP="000660D5">
      <w:pPr>
        <w:ind w:firstLine="708"/>
        <w:rPr>
          <w:b/>
          <w:bCs/>
        </w:rPr>
      </w:pPr>
    </w:p>
    <w:p w14:paraId="4032CF39" w14:textId="5D420A31" w:rsidR="00314143" w:rsidRPr="00DE3226" w:rsidRDefault="00B17344" w:rsidP="00EF0269">
      <w:r w:rsidRPr="00DE3226">
        <w:t>The concentration anticipates an initial enrollment of</w:t>
      </w:r>
      <w:r w:rsidR="002553B5" w:rsidRPr="00DE3226">
        <w:t xml:space="preserve"> between 20 and</w:t>
      </w:r>
      <w:r w:rsidRPr="00DE3226">
        <w:t xml:space="preserve"> 2</w:t>
      </w:r>
      <w:r w:rsidR="002553B5" w:rsidRPr="00DE3226">
        <w:t>5</w:t>
      </w:r>
      <w:r w:rsidRPr="00DE3226">
        <w:t xml:space="preserve"> students in its first and second years. </w:t>
      </w:r>
      <w:r w:rsidR="00314143" w:rsidRPr="00DE3226">
        <w:t xml:space="preserve">In addition, the concentration anticipates a 50-80% of enrollment increase in 3-5 years term. In the long-term, based on student demands, the concentration may grow into a major. </w:t>
      </w:r>
    </w:p>
    <w:p w14:paraId="790997F4" w14:textId="77777777" w:rsidR="00314143" w:rsidRPr="00DE3226" w:rsidRDefault="00314143" w:rsidP="00EF0269"/>
    <w:p w14:paraId="4CBBF7A2" w14:textId="5ED2739D" w:rsidR="002553B5" w:rsidRPr="00DE3226" w:rsidRDefault="00151858" w:rsidP="00EF0269">
      <w:r w:rsidRPr="00DE3226">
        <w:t xml:space="preserve">The </w:t>
      </w:r>
      <w:r w:rsidR="00314143" w:rsidRPr="00DE3226">
        <w:t>charts</w:t>
      </w:r>
      <w:r w:rsidRPr="00DE3226">
        <w:t xml:space="preserve"> included below </w:t>
      </w:r>
      <w:r w:rsidR="00B17344" w:rsidRPr="00DE3226">
        <w:t>show current interest in a potential Health Humanities concentration</w:t>
      </w:r>
      <w:r w:rsidR="00314143" w:rsidRPr="00DE3226">
        <w:t xml:space="preserve">. Students </w:t>
      </w:r>
      <w:r w:rsidR="002553B5" w:rsidRPr="00DE3226">
        <w:t>were distributed a flyer</w:t>
      </w:r>
      <w:r w:rsidR="00314143" w:rsidRPr="00DE3226">
        <w:t xml:space="preserve"> with information about the field </w:t>
      </w:r>
      <w:r w:rsidR="002553B5" w:rsidRPr="00DE3226">
        <w:t xml:space="preserve">of </w:t>
      </w:r>
      <w:r w:rsidR="00314143" w:rsidRPr="00DE3226">
        <w:t>health humanities</w:t>
      </w:r>
      <w:r w:rsidR="002553B5" w:rsidRPr="00DE3226">
        <w:t>. This flyer included a brief survey with</w:t>
      </w:r>
      <w:r w:rsidR="00314143" w:rsidRPr="00DE3226">
        <w:t xml:space="preserve"> the following question</w:t>
      </w:r>
      <w:r w:rsidR="002553B5" w:rsidRPr="00DE3226">
        <w:t xml:space="preserve"> measuring their interest in a potential health humanities program</w:t>
      </w:r>
      <w:r w:rsidR="00314143" w:rsidRPr="00DE3226">
        <w:t>: “How interested are you in such a program, on a scale from 1-7, (1=no interest, 7=high interest)</w:t>
      </w:r>
      <w:r w:rsidR="002553B5" w:rsidRPr="00DE3226">
        <w:t>?</w:t>
      </w:r>
      <w:r w:rsidR="00314143" w:rsidRPr="00DE3226">
        <w:t xml:space="preserve">”. </w:t>
      </w:r>
    </w:p>
    <w:p w14:paraId="48F4DFBB" w14:textId="77777777" w:rsidR="002553B5" w:rsidRPr="00DE3226" w:rsidRDefault="002553B5" w:rsidP="00EF0269"/>
    <w:p w14:paraId="0A5EE184" w14:textId="3CF88CEF" w:rsidR="00783C6A" w:rsidRPr="00DE3226" w:rsidRDefault="00314143" w:rsidP="00EF0269">
      <w:r w:rsidRPr="00DE3226">
        <w:t>Chart</w:t>
      </w:r>
      <w:r w:rsidR="00B17344" w:rsidRPr="00DE3226">
        <w:t xml:space="preserve"> A </w:t>
      </w:r>
      <w:r w:rsidR="00783C6A" w:rsidRPr="00DE3226">
        <w:t xml:space="preserve">below </w:t>
      </w:r>
      <w:r w:rsidR="00B17344" w:rsidRPr="00DE3226">
        <w:t xml:space="preserve">shows data collected during a Humanities Initiative event at The University of Scranton on October 2 during </w:t>
      </w:r>
      <w:r w:rsidR="00C51F52" w:rsidRPr="00DE3226">
        <w:t>the fall 2019</w:t>
      </w:r>
      <w:r w:rsidR="00B17344" w:rsidRPr="00DE3226">
        <w:t xml:space="preserve"> semester. Students from </w:t>
      </w:r>
      <w:r w:rsidR="00245EDF" w:rsidRPr="00DE3226">
        <w:t>across the</w:t>
      </w:r>
      <w:r w:rsidR="003438A2" w:rsidRPr="00DE3226">
        <w:t xml:space="preserve"> University’s</w:t>
      </w:r>
      <w:r w:rsidR="00B17344" w:rsidRPr="00DE3226">
        <w:t xml:space="preserve"> majors attended this event. Graph B shows data collected </w:t>
      </w:r>
      <w:r w:rsidRPr="00DE3226">
        <w:t xml:space="preserve">from pre-med students </w:t>
      </w:r>
      <w:r w:rsidR="00B17344" w:rsidRPr="00DE3226">
        <w:t xml:space="preserve">at the </w:t>
      </w:r>
      <w:r w:rsidRPr="00DE3226">
        <w:t>T</w:t>
      </w:r>
      <w:r w:rsidR="00B17344" w:rsidRPr="00DE3226">
        <w:t>hirteen</w:t>
      </w:r>
      <w:r w:rsidR="003438A2" w:rsidRPr="00DE3226">
        <w:t>th</w:t>
      </w:r>
      <w:r w:rsidR="00B17344" w:rsidRPr="00DE3226">
        <w:t xml:space="preserve"> </w:t>
      </w:r>
      <w:r w:rsidRPr="00DE3226">
        <w:t>A</w:t>
      </w:r>
      <w:r w:rsidR="00B17344" w:rsidRPr="00DE3226">
        <w:t xml:space="preserve">nnual </w:t>
      </w:r>
      <w:r w:rsidRPr="00DE3226">
        <w:t>R</w:t>
      </w:r>
      <w:r w:rsidR="00B17344" w:rsidRPr="00DE3226">
        <w:t>etreat “Medicine as Service</w:t>
      </w:r>
      <w:r w:rsidR="002553B5" w:rsidRPr="00DE3226">
        <w:t>,</w:t>
      </w:r>
      <w:r w:rsidR="00B17344" w:rsidRPr="00DE3226">
        <w:t>”</w:t>
      </w:r>
      <w:r w:rsidR="002553B5" w:rsidRPr="00DE3226">
        <w:t xml:space="preserve"> also held last October</w:t>
      </w:r>
      <w:r w:rsidRPr="00DE3226">
        <w:t>. Both charts demonstrate that there is already an extraordinary interest in a Health Humanities concentration among our students.</w:t>
      </w:r>
    </w:p>
    <w:p w14:paraId="7AD50C94" w14:textId="30CFAF84" w:rsidR="00783C6A" w:rsidRDefault="00783C6A" w:rsidP="00EF0269"/>
    <w:p w14:paraId="4712883F" w14:textId="77777777" w:rsidR="007D7AE7" w:rsidRPr="00DE3226" w:rsidRDefault="007D7AE7" w:rsidP="00EF0269"/>
    <w:p w14:paraId="50ACBE1D" w14:textId="77777777" w:rsidR="001127F6" w:rsidRDefault="001127F6" w:rsidP="00EF0269"/>
    <w:p w14:paraId="208802B8" w14:textId="77777777" w:rsidR="001127F6" w:rsidRDefault="001127F6" w:rsidP="00EF0269"/>
    <w:p w14:paraId="6A1F24E2" w14:textId="77777777" w:rsidR="001127F6" w:rsidRDefault="001127F6" w:rsidP="00EF0269"/>
    <w:p w14:paraId="1A2082C6" w14:textId="77777777" w:rsidR="001127F6" w:rsidRDefault="001127F6" w:rsidP="00EF0269"/>
    <w:p w14:paraId="50F55AF3" w14:textId="3D47EB61" w:rsidR="00390F6E" w:rsidRPr="00DE3226" w:rsidRDefault="00314143" w:rsidP="00EF0269">
      <w:r w:rsidRPr="00DE3226">
        <w:lastRenderedPageBreak/>
        <w:t>CHART A</w:t>
      </w:r>
    </w:p>
    <w:p w14:paraId="4C938B5B" w14:textId="77777777" w:rsidR="005E12F8" w:rsidRPr="00DE3226" w:rsidRDefault="005E12F8" w:rsidP="00EF0269"/>
    <w:p w14:paraId="1C5BB67C" w14:textId="11853F4A" w:rsidR="00783C6A" w:rsidRPr="00DE3226" w:rsidRDefault="00314143" w:rsidP="00EF0269">
      <w:r w:rsidRPr="00DE3226">
        <w:rPr>
          <w:noProof/>
        </w:rPr>
        <w:drawing>
          <wp:inline distT="0" distB="0" distL="0" distR="0" wp14:anchorId="4941BDF8" wp14:editId="44A9E665">
            <wp:extent cx="4106779" cy="2871537"/>
            <wp:effectExtent l="0" t="0" r="8255" b="11430"/>
            <wp:docPr id="2" name="Gráfico 2">
              <a:extLst xmlns:a="http://schemas.openxmlformats.org/drawingml/2006/main">
                <a:ext uri="{FF2B5EF4-FFF2-40B4-BE49-F238E27FC236}">
                  <a16:creationId xmlns:a16="http://schemas.microsoft.com/office/drawing/2014/main" id="{3A9CE0F5-5276-7746-9627-05A327B2DB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CCB95D0" w14:textId="77777777" w:rsidR="002553B5" w:rsidRPr="00DE3226" w:rsidRDefault="002553B5" w:rsidP="00EF0269"/>
    <w:p w14:paraId="38F7F914" w14:textId="77777777" w:rsidR="00271332" w:rsidRDefault="00271332" w:rsidP="00EF0269"/>
    <w:p w14:paraId="452F25EE" w14:textId="47DE5F39" w:rsidR="00314143" w:rsidRPr="00DE3226" w:rsidRDefault="00314143" w:rsidP="00EF0269">
      <w:r w:rsidRPr="00DE3226">
        <w:t>CHART B</w:t>
      </w:r>
    </w:p>
    <w:p w14:paraId="0AD4C687" w14:textId="77777777" w:rsidR="00866CFE" w:rsidRPr="00DE3226" w:rsidRDefault="00866CFE" w:rsidP="00EF0269"/>
    <w:p w14:paraId="5ED86CD9" w14:textId="4F1DD520" w:rsidR="00866CFE" w:rsidRPr="00DE3226" w:rsidRDefault="00314143" w:rsidP="00EF0269">
      <w:r w:rsidRPr="00DE3226">
        <w:rPr>
          <w:noProof/>
        </w:rPr>
        <w:drawing>
          <wp:inline distT="0" distB="0" distL="0" distR="0" wp14:anchorId="22098B8A" wp14:editId="44F89A0A">
            <wp:extent cx="4211053" cy="2526632"/>
            <wp:effectExtent l="0" t="0" r="5715" b="1270"/>
            <wp:docPr id="1" name="Imagen 1" descr="Imagen que contiene captura de pantal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97907" cy="2578744"/>
                    </a:xfrm>
                    <a:prstGeom prst="rect">
                      <a:avLst/>
                    </a:prstGeom>
                  </pic:spPr>
                </pic:pic>
              </a:graphicData>
            </a:graphic>
          </wp:inline>
        </w:drawing>
      </w:r>
    </w:p>
    <w:p w14:paraId="4C785379" w14:textId="77777777" w:rsidR="00485DDF" w:rsidRDefault="00485DDF" w:rsidP="002A0958">
      <w:pPr>
        <w:rPr>
          <w:b/>
          <w:bCs/>
        </w:rPr>
      </w:pPr>
    </w:p>
    <w:p w14:paraId="22606999" w14:textId="5E106CF2" w:rsidR="00EF0269" w:rsidRPr="00DE3226" w:rsidRDefault="00EF0269" w:rsidP="000660D5">
      <w:pPr>
        <w:ind w:firstLine="708"/>
        <w:rPr>
          <w:b/>
          <w:bCs/>
        </w:rPr>
      </w:pPr>
      <w:r w:rsidRPr="00DE3226">
        <w:rPr>
          <w:b/>
          <w:bCs/>
        </w:rPr>
        <w:t>Prospects for Graduates</w:t>
      </w:r>
    </w:p>
    <w:p w14:paraId="4FEADD6D" w14:textId="194A346B" w:rsidR="00D234F3" w:rsidRPr="00DE3226" w:rsidRDefault="00D234F3" w:rsidP="00EF0269"/>
    <w:p w14:paraId="6FE47942" w14:textId="674E44EF" w:rsidR="00B17344" w:rsidRPr="00DE3226" w:rsidRDefault="00B17344" w:rsidP="00EF0269">
      <w:r w:rsidRPr="00DE3226">
        <w:t>T</w:t>
      </w:r>
      <w:r w:rsidR="00D234F3" w:rsidRPr="00DE3226">
        <w:t xml:space="preserve">he proposed Health Humanities concentration will attract students entering different job markets, so an analysis of the job market and graduates’ prospects must be completed with consideration of the two broad categories of </w:t>
      </w:r>
      <w:r w:rsidR="0008149C" w:rsidRPr="00DE3226">
        <w:t>students likely to pursue the concentration: pre-</w:t>
      </w:r>
      <w:r w:rsidRPr="00DE3226">
        <w:t>health professions students</w:t>
      </w:r>
      <w:r w:rsidR="004A0566" w:rsidRPr="00DE3226">
        <w:t xml:space="preserve"> planning to apply to medical school</w:t>
      </w:r>
      <w:r w:rsidR="0008149C" w:rsidRPr="00DE3226">
        <w:t xml:space="preserve">, and students who are not on the medical school track. </w:t>
      </w:r>
      <w:r w:rsidR="00297C41" w:rsidRPr="00DE3226">
        <w:t xml:space="preserve">For many of our health pre-professional majors, including our pre-med students, the job market is a job market for candidates with advanced degrees, so the concentration will not be directly concerned with job placement for these students. </w:t>
      </w:r>
      <w:r w:rsidR="00297C41" w:rsidRPr="00DE3226">
        <w:lastRenderedPageBreak/>
        <w:t>For these students, the concentration will work alongside the University’s pre-med program to prepare students for placement in medical schools. And a</w:t>
      </w:r>
      <w:r w:rsidR="00D234F3" w:rsidRPr="00DE3226">
        <w:t xml:space="preserve">s the proposed program is a concentration, </w:t>
      </w:r>
      <w:r w:rsidR="00297C41" w:rsidRPr="00DE3226">
        <w:t>for our students who aren’t planning to go to medical school or graduate school programs specifically for careers in the health professions, the program</w:t>
      </w:r>
      <w:r w:rsidR="00D234F3" w:rsidRPr="00DE3226">
        <w:t xml:space="preserve"> is designed to supplement </w:t>
      </w:r>
      <w:r w:rsidR="00297C41" w:rsidRPr="00DE3226">
        <w:t>their majors and</w:t>
      </w:r>
      <w:r w:rsidR="00D234F3" w:rsidRPr="00DE3226">
        <w:t xml:space="preserve"> their preparation for whatever career paths they will pursue following the completion of these majors.</w:t>
      </w:r>
      <w:r w:rsidR="00297C41" w:rsidRPr="00DE3226">
        <w:t xml:space="preserve"> </w:t>
      </w:r>
    </w:p>
    <w:p w14:paraId="23C15064" w14:textId="77777777" w:rsidR="00B17344" w:rsidRPr="00DE3226" w:rsidRDefault="00B17344" w:rsidP="00EF0269"/>
    <w:p w14:paraId="4EC9B387" w14:textId="7102033D" w:rsidR="00D234F3" w:rsidRDefault="000660D5" w:rsidP="00EF0269">
      <w:r w:rsidRPr="00DE3226">
        <w:t>As indicated earlier,</w:t>
      </w:r>
      <w:r w:rsidR="008D658D" w:rsidRPr="00DE3226">
        <w:rPr>
          <w:color w:val="000000"/>
        </w:rPr>
        <w:t xml:space="preserve"> Craig Krugman observes that in the US, humanities majors generally have higher MCAT scores than those with other majors: “When the MCAT was revised in 2011, the Association of American Medical Colleges announced that the 2015 exam would reduce the percentage of content testing in science and add sections on</w:t>
      </w:r>
      <w:r w:rsidR="00B17344" w:rsidRPr="00DE3226">
        <w:rPr>
          <w:color w:val="000000"/>
        </w:rPr>
        <w:t xml:space="preserve"> </w:t>
      </w:r>
      <w:r w:rsidR="008D658D" w:rsidRPr="00DE3226">
        <w:rPr>
          <w:color w:val="000000"/>
        </w:rPr>
        <w:t>human behavior/culture and logical analysis/reasoning. And outside of the United States, medical school entrance exams frequently focus on reasoning skills rather than scientific knowledge” (20)</w:t>
      </w:r>
      <w:r w:rsidR="008D658D" w:rsidRPr="00DE3226">
        <w:t>.</w:t>
      </w:r>
      <w:r w:rsidR="00A31759" w:rsidRPr="00DE3226">
        <w:rPr>
          <w:rStyle w:val="FootnoteReference"/>
          <w:color w:val="000000"/>
        </w:rPr>
        <w:footnoteReference w:id="31"/>
      </w:r>
      <w:r w:rsidR="008D658D" w:rsidRPr="00DE3226">
        <w:t xml:space="preserve"> A</w:t>
      </w:r>
      <w:r w:rsidR="00297C41" w:rsidRPr="00DE3226">
        <w:t xml:space="preserve"> health humanities concentration will significantly help students improve performance in the areas of verbal reasoning, decision making, situational judgement, interpersonal understanding, pattern identification, and intercultural competence, which will make them strong candidates for medical and graduate schools and for employers. </w:t>
      </w:r>
    </w:p>
    <w:p w14:paraId="75432C00" w14:textId="77777777" w:rsidR="001127F6" w:rsidRDefault="001127F6" w:rsidP="00EF0269"/>
    <w:p w14:paraId="77FC2918" w14:textId="52A2C3C6" w:rsidR="00EF0269" w:rsidRPr="00DE3226" w:rsidRDefault="00EF0269" w:rsidP="000660D5">
      <w:pPr>
        <w:pStyle w:val="BodyA"/>
        <w:numPr>
          <w:ilvl w:val="0"/>
          <w:numId w:val="4"/>
        </w:numPr>
        <w:suppressAutoHyphens/>
        <w:rPr>
          <w:rFonts w:ascii="Times New Roman" w:eastAsia="Times New Roman" w:hAnsi="Times New Roman" w:cs="Times New Roman"/>
          <w:b/>
          <w:bCs/>
        </w:rPr>
      </w:pPr>
      <w:r w:rsidRPr="00DE3226">
        <w:rPr>
          <w:rFonts w:ascii="Times New Roman" w:hAnsi="Times New Roman" w:cs="Times New Roman"/>
          <w:b/>
          <w:bCs/>
        </w:rPr>
        <w:t>Cost/Revenue Considerations</w:t>
      </w:r>
    </w:p>
    <w:p w14:paraId="1FC18065" w14:textId="77777777" w:rsidR="00967A84" w:rsidRPr="00DE3226" w:rsidRDefault="00967A84" w:rsidP="00EF0269"/>
    <w:p w14:paraId="5D677423" w14:textId="3B670B7E" w:rsidR="000A16FE" w:rsidRPr="00DE3226" w:rsidRDefault="000660D5" w:rsidP="000660D5">
      <w:r w:rsidRPr="00DE3226">
        <w:t xml:space="preserve">Operating costs for the concentration in the short-term will be minimal. </w:t>
      </w:r>
      <w:r w:rsidR="00967A84" w:rsidRPr="00DE3226">
        <w:t xml:space="preserve">All </w:t>
      </w:r>
      <w:r w:rsidRPr="00DE3226">
        <w:t xml:space="preserve">of </w:t>
      </w:r>
      <w:r w:rsidR="00967A84" w:rsidRPr="00DE3226">
        <w:t>the courses listed</w:t>
      </w:r>
      <w:r w:rsidRPr="00DE3226">
        <w:t xml:space="preserve"> for the curriculum</w:t>
      </w:r>
      <w:r w:rsidR="00967A84" w:rsidRPr="00DE3226">
        <w:t xml:space="preserve"> (core courses and supporting courses) are already offered on a regular basis by faculty from multiple academic departments across the University. </w:t>
      </w:r>
      <w:r w:rsidR="000A16FE" w:rsidRPr="00DE3226">
        <w:t>The creation of this concentration has been possible thanks to a National Endowmen</w:t>
      </w:r>
      <w:r w:rsidRPr="00DE3226">
        <w:t>t for the Humanities Connections Planning Grant ($34,</w:t>
      </w:r>
      <w:r w:rsidR="000A16FE" w:rsidRPr="00DE3226">
        <w:t xml:space="preserve">900). </w:t>
      </w:r>
      <w:r w:rsidRPr="00DE3226">
        <w:t>The HH team will apply for additional funding as the program grows, applying for o</w:t>
      </w:r>
      <w:r w:rsidR="00137700" w:rsidRPr="00DE3226">
        <w:t>ther</w:t>
      </w:r>
      <w:r w:rsidRPr="00DE3226">
        <w:t xml:space="preserve"> grants </w:t>
      </w:r>
      <w:r w:rsidR="000A16FE" w:rsidRPr="00DE3226">
        <w:t xml:space="preserve">such as the </w:t>
      </w:r>
      <w:r w:rsidRPr="00DE3226">
        <w:t xml:space="preserve">National Endowment for the </w:t>
      </w:r>
      <w:r w:rsidR="000A16FE" w:rsidRPr="00DE3226">
        <w:t>Humanities Connection</w:t>
      </w:r>
      <w:r w:rsidRPr="00DE3226">
        <w:t>s Implementation</w:t>
      </w:r>
      <w:r w:rsidR="000A16FE" w:rsidRPr="00DE3226">
        <w:t xml:space="preserve"> </w:t>
      </w:r>
      <w:r w:rsidRPr="00DE3226">
        <w:t>G</w:t>
      </w:r>
      <w:r w:rsidR="000A16FE" w:rsidRPr="00DE3226">
        <w:t xml:space="preserve">rant </w:t>
      </w:r>
      <w:r w:rsidRPr="00DE3226">
        <w:t xml:space="preserve">to </w:t>
      </w:r>
      <w:r w:rsidR="000A16FE" w:rsidRPr="00DE3226">
        <w:t xml:space="preserve">support additional program growth into a potential major. </w:t>
      </w:r>
    </w:p>
    <w:p w14:paraId="65AF67E6" w14:textId="32053047" w:rsidR="00967A84" w:rsidRPr="00DE3226" w:rsidRDefault="00967A84" w:rsidP="00EF0269"/>
    <w:p w14:paraId="338D7867" w14:textId="49E094AC" w:rsidR="00EF0269" w:rsidRPr="00DE3226" w:rsidRDefault="00EF0269" w:rsidP="000660D5">
      <w:pPr>
        <w:ind w:firstLine="708"/>
        <w:rPr>
          <w:b/>
        </w:rPr>
      </w:pPr>
      <w:r w:rsidRPr="00DE3226">
        <w:rPr>
          <w:b/>
        </w:rPr>
        <w:t>Analysis of Costs</w:t>
      </w:r>
      <w:r w:rsidR="000660D5" w:rsidRPr="00DE3226">
        <w:rPr>
          <w:b/>
        </w:rPr>
        <w:t xml:space="preserve"> and </w:t>
      </w:r>
      <w:r w:rsidRPr="00DE3226">
        <w:rPr>
          <w:b/>
        </w:rPr>
        <w:t>Analysis of Revenue</w:t>
      </w:r>
    </w:p>
    <w:p w14:paraId="5550D963" w14:textId="7B30A45B" w:rsidR="00967A84" w:rsidRPr="00DE3226" w:rsidRDefault="00967A84" w:rsidP="00EF0269"/>
    <w:p w14:paraId="528B88F4" w14:textId="36993DC9" w:rsidR="001B3BAB" w:rsidRPr="00DE3226" w:rsidRDefault="001B3BAB" w:rsidP="001B3BAB">
      <w:pPr>
        <w:pStyle w:val="NormalWeb"/>
        <w:spacing w:before="0" w:beforeAutospacing="0" w:after="0" w:afterAutospacing="0"/>
        <w:rPr>
          <w:color w:val="000000" w:themeColor="text1"/>
          <w:lang w:val="en-US"/>
        </w:rPr>
      </w:pPr>
      <w:r w:rsidRPr="00DE3226">
        <w:rPr>
          <w:color w:val="000000" w:themeColor="text1"/>
          <w:bdr w:val="none" w:sz="0" w:space="0" w:color="auto" w:frame="1"/>
          <w:lang w:val="en-US"/>
        </w:rPr>
        <w:t xml:space="preserve">Because the proposed program is a concentration, the costs associated with the program are minimal. At most, </w:t>
      </w:r>
      <w:r w:rsidR="00936D19" w:rsidRPr="00DE3226">
        <w:rPr>
          <w:color w:val="000000" w:themeColor="text1"/>
          <w:bdr w:val="none" w:sz="0" w:space="0" w:color="auto" w:frame="1"/>
          <w:lang w:val="en-US"/>
        </w:rPr>
        <w:t>initial program development</w:t>
      </w:r>
      <w:r w:rsidRPr="00DE3226">
        <w:rPr>
          <w:color w:val="000000" w:themeColor="text1"/>
          <w:bdr w:val="none" w:sz="0" w:space="0" w:color="auto" w:frame="1"/>
          <w:lang w:val="en-US"/>
        </w:rPr>
        <w:t xml:space="preserve"> would require compensation for the</w:t>
      </w:r>
      <w:r w:rsidR="00C96867">
        <w:rPr>
          <w:color w:val="000000" w:themeColor="text1"/>
          <w:bdr w:val="none" w:sz="0" w:space="0" w:color="auto" w:frame="1"/>
          <w:lang w:val="en-US"/>
        </w:rPr>
        <w:t xml:space="preserve"> D</w:t>
      </w:r>
      <w:r w:rsidRPr="00DE3226">
        <w:rPr>
          <w:color w:val="000000" w:themeColor="text1"/>
          <w:bdr w:val="none" w:sz="0" w:space="0" w:color="auto" w:frame="1"/>
          <w:lang w:val="en-US"/>
        </w:rPr>
        <w:t>irector of the program, likely in the form of a course release—see the table below</w:t>
      </w:r>
      <w:r w:rsidR="00151858" w:rsidRPr="00DE3226">
        <w:rPr>
          <w:color w:val="000000" w:themeColor="text1"/>
          <w:bdr w:val="none" w:sz="0" w:space="0" w:color="auto" w:frame="1"/>
          <w:lang w:val="en-US"/>
        </w:rPr>
        <w:t xml:space="preserve">—and </w:t>
      </w:r>
      <w:r w:rsidR="00C96867">
        <w:rPr>
          <w:color w:val="000000" w:themeColor="text1"/>
          <w:bdr w:val="none" w:sz="0" w:space="0" w:color="auto" w:frame="1"/>
          <w:lang w:val="en-US"/>
        </w:rPr>
        <w:t xml:space="preserve">(perhaps) </w:t>
      </w:r>
      <w:r w:rsidR="00151858" w:rsidRPr="00DE3226">
        <w:rPr>
          <w:color w:val="000000" w:themeColor="text1"/>
          <w:bdr w:val="none" w:sz="0" w:space="0" w:color="auto" w:frame="1"/>
          <w:lang w:val="en-US"/>
        </w:rPr>
        <w:t>secretarial overtime</w:t>
      </w:r>
      <w:r w:rsidRPr="00DE3226">
        <w:rPr>
          <w:color w:val="000000" w:themeColor="text1"/>
          <w:bdr w:val="none" w:sz="0" w:space="0" w:color="auto" w:frame="1"/>
          <w:lang w:val="en-US"/>
        </w:rPr>
        <w:t xml:space="preserve">. Because the concentration effectively piggybacks on courses designed for other disciplines, there are no additional costs associated with these courses. Finally, there may be costs associated with doing supplemental programming for the concentration. </w:t>
      </w:r>
    </w:p>
    <w:p w14:paraId="4E11CF68" w14:textId="77777777" w:rsidR="001B3BAB" w:rsidRPr="00DE3226" w:rsidRDefault="001B3BAB" w:rsidP="001B3BAB">
      <w:pPr>
        <w:pStyle w:val="NormalWeb"/>
        <w:spacing w:before="0" w:beforeAutospacing="0" w:after="0" w:afterAutospacing="0"/>
        <w:ind w:left="720"/>
        <w:rPr>
          <w:color w:val="000000" w:themeColor="text1"/>
          <w:lang w:val="en-US"/>
        </w:rPr>
      </w:pPr>
      <w:r w:rsidRPr="00DE3226">
        <w:rPr>
          <w:color w:val="000000" w:themeColor="text1"/>
          <w:bdr w:val="none" w:sz="0" w:space="0" w:color="auto" w:frame="1"/>
          <w:lang w:val="en-US"/>
        </w:rPr>
        <w:t> </w:t>
      </w:r>
    </w:p>
    <w:p w14:paraId="5FF46D5F" w14:textId="2882103B" w:rsidR="00936D19" w:rsidRPr="00DE3226" w:rsidRDefault="001B3BAB" w:rsidP="00820353">
      <w:pPr>
        <w:pStyle w:val="NormalWeb"/>
        <w:spacing w:before="0" w:beforeAutospacing="0" w:after="0" w:afterAutospacing="0"/>
        <w:rPr>
          <w:lang w:val="en-US"/>
        </w:rPr>
      </w:pPr>
      <w:r w:rsidRPr="00DE3226">
        <w:rPr>
          <w:color w:val="000000" w:themeColor="text1"/>
          <w:bdr w:val="none" w:sz="0" w:space="0" w:color="auto" w:frame="1"/>
          <w:lang w:val="en-US"/>
        </w:rPr>
        <w:t xml:space="preserve">The revenue from the program is hard to measure with any certainty, but there are at least three ways that the program could benefit the University financially. Most immediately, the program is designed to attract more pre-medical and pre-health professions students to the University. If we have just one additional student decide to come to the University because </w:t>
      </w:r>
      <w:r w:rsidRPr="00DE3226">
        <w:rPr>
          <w:color w:val="000000" w:themeColor="text1"/>
          <w:bdr w:val="none" w:sz="0" w:space="0" w:color="auto" w:frame="1"/>
          <w:lang w:val="en-US"/>
        </w:rPr>
        <w:lastRenderedPageBreak/>
        <w:t>of the Health Humanities concentration per year, then the program will already be paying for itself.</w:t>
      </w:r>
    </w:p>
    <w:p w14:paraId="19B0A03B" w14:textId="77777777" w:rsidR="00967A84" w:rsidRPr="00DE3226" w:rsidRDefault="00967A84" w:rsidP="00EF0269"/>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8"/>
        <w:gridCol w:w="2897"/>
      </w:tblGrid>
      <w:tr w:rsidR="00151858" w:rsidRPr="00DE3226" w14:paraId="699385ED" w14:textId="77777777" w:rsidTr="007A1D41">
        <w:tc>
          <w:tcPr>
            <w:tcW w:w="2838" w:type="dxa"/>
          </w:tcPr>
          <w:p w14:paraId="27FFB52D" w14:textId="77777777" w:rsidR="00151858" w:rsidRPr="00DE3226" w:rsidRDefault="00151858" w:rsidP="00545DD4">
            <w:pPr>
              <w:rPr>
                <w:b/>
              </w:rPr>
            </w:pPr>
            <w:r w:rsidRPr="00DE3226">
              <w:rPr>
                <w:b/>
              </w:rPr>
              <w:t>Per Semester</w:t>
            </w:r>
          </w:p>
        </w:tc>
        <w:tc>
          <w:tcPr>
            <w:tcW w:w="2897" w:type="dxa"/>
          </w:tcPr>
          <w:p w14:paraId="17D64C9A" w14:textId="77777777" w:rsidR="00151858" w:rsidRPr="00DE3226" w:rsidRDefault="00151858" w:rsidP="00545DD4">
            <w:pPr>
              <w:rPr>
                <w:b/>
              </w:rPr>
            </w:pPr>
            <w:r w:rsidRPr="00DE3226">
              <w:rPr>
                <w:b/>
              </w:rPr>
              <w:t>Cost</w:t>
            </w:r>
          </w:p>
        </w:tc>
      </w:tr>
      <w:tr w:rsidR="00151858" w:rsidRPr="00DE3226" w14:paraId="1CF4E7FF" w14:textId="77777777" w:rsidTr="007A1D41">
        <w:tc>
          <w:tcPr>
            <w:tcW w:w="2838" w:type="dxa"/>
          </w:tcPr>
          <w:p w14:paraId="14C05408" w14:textId="77777777" w:rsidR="00151858" w:rsidRPr="00DE3226" w:rsidRDefault="00151858" w:rsidP="00545DD4">
            <w:r w:rsidRPr="00DE3226">
              <w:t>Reassigned Time for the Program Director</w:t>
            </w:r>
          </w:p>
        </w:tc>
        <w:tc>
          <w:tcPr>
            <w:tcW w:w="2897" w:type="dxa"/>
          </w:tcPr>
          <w:p w14:paraId="31646D01" w14:textId="77777777" w:rsidR="00151858" w:rsidRPr="00DE3226" w:rsidRDefault="00151858" w:rsidP="00545DD4">
            <w:pPr>
              <w:rPr>
                <w:highlight w:val="green"/>
              </w:rPr>
            </w:pPr>
            <w:r w:rsidRPr="00DE3226">
              <w:t>3 credits each semester: $4500</w:t>
            </w:r>
          </w:p>
        </w:tc>
      </w:tr>
      <w:tr w:rsidR="00151858" w:rsidRPr="00DE3226" w14:paraId="45D7110A" w14:textId="77777777" w:rsidTr="007A1D41">
        <w:tc>
          <w:tcPr>
            <w:tcW w:w="2838" w:type="dxa"/>
          </w:tcPr>
          <w:p w14:paraId="7A74D69C" w14:textId="77777777" w:rsidR="00151858" w:rsidRPr="00DE3226" w:rsidRDefault="00151858" w:rsidP="00545DD4">
            <w:r w:rsidRPr="00DE3226">
              <w:t>Secretarial overtime stipend</w:t>
            </w:r>
          </w:p>
        </w:tc>
        <w:tc>
          <w:tcPr>
            <w:tcW w:w="2897" w:type="dxa"/>
          </w:tcPr>
          <w:p w14:paraId="6F5A089E" w14:textId="722AB95A" w:rsidR="00151858" w:rsidRPr="00DE3226" w:rsidRDefault="00151858" w:rsidP="00545DD4">
            <w:r w:rsidRPr="00DE3226">
              <w:t>2 hours per week x 20 weeks x $20 =$400</w:t>
            </w:r>
          </w:p>
        </w:tc>
      </w:tr>
      <w:tr w:rsidR="00151858" w:rsidRPr="00DE3226" w14:paraId="14957B60" w14:textId="77777777" w:rsidTr="007A1D41">
        <w:tc>
          <w:tcPr>
            <w:tcW w:w="2838" w:type="dxa"/>
          </w:tcPr>
          <w:p w14:paraId="6774BB18" w14:textId="581724CD" w:rsidR="00151858" w:rsidRPr="00DE3226" w:rsidRDefault="00151858" w:rsidP="00545DD4">
            <w:r w:rsidRPr="00DE3226">
              <w:t xml:space="preserve">Total Cost: </w:t>
            </w:r>
          </w:p>
        </w:tc>
        <w:tc>
          <w:tcPr>
            <w:tcW w:w="2897" w:type="dxa"/>
          </w:tcPr>
          <w:p w14:paraId="043A824E" w14:textId="31EB8657" w:rsidR="00151858" w:rsidRPr="00DE3226" w:rsidRDefault="00151858" w:rsidP="00545DD4">
            <w:r w:rsidRPr="00DE3226">
              <w:t>$4900</w:t>
            </w:r>
          </w:p>
        </w:tc>
      </w:tr>
    </w:tbl>
    <w:p w14:paraId="07177E89" w14:textId="7B195C93" w:rsidR="00967A84" w:rsidRDefault="00967A84" w:rsidP="00EF0269">
      <w:pPr>
        <w:rPr>
          <w:b/>
          <w:bCs/>
        </w:rPr>
      </w:pPr>
    </w:p>
    <w:p w14:paraId="71B5F1F6" w14:textId="22C765E2" w:rsidR="00C96867" w:rsidRPr="001127F6" w:rsidRDefault="00C96867" w:rsidP="00EF0269">
      <w:r w:rsidRPr="005019BD">
        <w:t>We</w:t>
      </w:r>
      <w:r>
        <w:t xml:space="preserve"> are aware the projections may need adjustments, based upon circumstances and institutional peculiarities, such as appropriately negotiated compensation structures. Presently we envision a co-Directorship that alternates between tenure-track professors who are noted for staffing courses with sufficient enrollment numbers so as to avoid introducing a course-load context where compensation is required for low-enrolled courses.</w:t>
      </w:r>
      <w:r w:rsidR="00487FC9">
        <w:t xml:space="preserve"> </w:t>
      </w:r>
      <w:r>
        <w:t>The records for both Dr. Billie Tadros and Dr. Cyrus Olsen can be consulted for further confirmation concerning enrollment numbers.</w:t>
      </w:r>
      <w:r w:rsidR="00487FC9">
        <w:t xml:space="preserve"> </w:t>
      </w:r>
      <w:r>
        <w:t>We are willing to learn how best to structure the Concentration Cost</w:t>
      </w:r>
      <w:r w:rsidR="006C5BC1">
        <w:t xml:space="preserve"> in consultation with the CAS Dean’s Office.</w:t>
      </w:r>
    </w:p>
    <w:p w14:paraId="3A44DEAC" w14:textId="77777777" w:rsidR="00485DDF" w:rsidRPr="00DE3226" w:rsidRDefault="00485DDF" w:rsidP="00EF0269">
      <w:pPr>
        <w:rPr>
          <w:b/>
          <w:bCs/>
        </w:rPr>
      </w:pPr>
    </w:p>
    <w:p w14:paraId="2B5E0D03" w14:textId="313B8226" w:rsidR="00EF0269" w:rsidRPr="00DE3226" w:rsidRDefault="00EF0269" w:rsidP="000660D5">
      <w:pPr>
        <w:pStyle w:val="ListParagraph"/>
        <w:numPr>
          <w:ilvl w:val="0"/>
          <w:numId w:val="4"/>
        </w:numPr>
        <w:rPr>
          <w:rFonts w:ascii="Times New Roman" w:hAnsi="Times New Roman" w:cs="Times New Roman"/>
          <w:b/>
          <w:bCs/>
        </w:rPr>
      </w:pPr>
      <w:r w:rsidRPr="00DE3226">
        <w:rPr>
          <w:rFonts w:ascii="Times New Roman" w:hAnsi="Times New Roman" w:cs="Times New Roman"/>
          <w:b/>
          <w:bCs/>
        </w:rPr>
        <w:t>Student Learning Outcomes and Assessment Plan</w:t>
      </w:r>
    </w:p>
    <w:p w14:paraId="176FCC10" w14:textId="77777777" w:rsidR="000660D5" w:rsidRPr="00DE3226" w:rsidRDefault="000660D5" w:rsidP="00EF0269">
      <w:pPr>
        <w:rPr>
          <w:b/>
          <w:bCs/>
        </w:rPr>
      </w:pPr>
    </w:p>
    <w:p w14:paraId="13BEFB2D" w14:textId="2323562C" w:rsidR="00EF0269" w:rsidRPr="00DE3226" w:rsidRDefault="00EF0269" w:rsidP="000660D5">
      <w:pPr>
        <w:ind w:firstLine="360"/>
        <w:rPr>
          <w:b/>
          <w:bCs/>
        </w:rPr>
      </w:pPr>
      <w:r w:rsidRPr="00DE3226">
        <w:rPr>
          <w:b/>
          <w:bCs/>
        </w:rPr>
        <w:t>Expected Student Learning Outcomes</w:t>
      </w:r>
      <w:r w:rsidR="000660D5" w:rsidRPr="00DE3226">
        <w:rPr>
          <w:b/>
          <w:bCs/>
        </w:rPr>
        <w:t xml:space="preserve"> and </w:t>
      </w:r>
      <w:r w:rsidRPr="00DE3226">
        <w:rPr>
          <w:b/>
          <w:bCs/>
        </w:rPr>
        <w:t>Plan for Assessment</w:t>
      </w:r>
    </w:p>
    <w:p w14:paraId="20B6A9AB" w14:textId="08C2F060" w:rsidR="00EF0269" w:rsidRPr="00DE3226" w:rsidRDefault="00EF0269" w:rsidP="00EF0269">
      <w:pPr>
        <w:rPr>
          <w:rStyle w:val="PageNumber"/>
          <w:bCs/>
        </w:rPr>
      </w:pPr>
    </w:p>
    <w:p w14:paraId="1176E00B" w14:textId="1C650D77" w:rsidR="00A53369" w:rsidRPr="00DE3226" w:rsidRDefault="00A53369" w:rsidP="00A53369">
      <w:pPr>
        <w:pStyle w:val="Default"/>
        <w:rPr>
          <w:rFonts w:ascii="Times New Roman" w:hAnsi="Times New Roman" w:cs="Times New Roman"/>
          <w:lang w:val="en-US"/>
        </w:rPr>
      </w:pPr>
      <w:r w:rsidRPr="00DE3226">
        <w:rPr>
          <w:rFonts w:ascii="Times New Roman" w:hAnsi="Times New Roman" w:cs="Times New Roman"/>
          <w:b/>
          <w:bCs/>
          <w:sz w:val="24"/>
          <w:szCs w:val="24"/>
          <w:lang w:val="en-US"/>
        </w:rPr>
        <w:t xml:space="preserve">Assessment </w:t>
      </w:r>
      <w:r w:rsidRPr="00DE3226">
        <w:rPr>
          <w:rFonts w:ascii="Times New Roman" w:hAnsi="Times New Roman" w:cs="Times New Roman"/>
          <w:b/>
          <w:bCs/>
          <w:lang w:val="en-US"/>
        </w:rPr>
        <w:t>S</w:t>
      </w:r>
      <w:r w:rsidRPr="00DE3226">
        <w:rPr>
          <w:rFonts w:ascii="Times New Roman" w:hAnsi="Times New Roman" w:cs="Times New Roman"/>
          <w:b/>
          <w:bCs/>
          <w:sz w:val="24"/>
          <w:szCs w:val="24"/>
          <w:lang w:val="en-US"/>
        </w:rPr>
        <w:t>trategy</w:t>
      </w:r>
      <w:r w:rsidR="00D71DB6">
        <w:rPr>
          <w:rStyle w:val="FootnoteReference"/>
          <w:rFonts w:ascii="Times New Roman" w:hAnsi="Times New Roman" w:cs="Times New Roman"/>
          <w:b/>
          <w:bCs/>
          <w:sz w:val="24"/>
          <w:szCs w:val="24"/>
          <w:lang w:val="en-US"/>
        </w:rPr>
        <w:footnoteReference w:id="32"/>
      </w:r>
      <w:r w:rsidRPr="00DE3226">
        <w:rPr>
          <w:rFonts w:ascii="Times New Roman" w:hAnsi="Times New Roman" w:cs="Times New Roman"/>
          <w:sz w:val="24"/>
          <w:szCs w:val="24"/>
          <w:lang w:val="en-US"/>
        </w:rPr>
        <w:t xml:space="preserve">: </w:t>
      </w:r>
    </w:p>
    <w:p w14:paraId="187DC3D1" w14:textId="77777777" w:rsidR="00A53369" w:rsidRPr="00DE3226" w:rsidRDefault="00A53369" w:rsidP="00A53369">
      <w:pPr>
        <w:pStyle w:val="Default"/>
        <w:rPr>
          <w:rFonts w:ascii="Times New Roman" w:hAnsi="Times New Roman" w:cs="Times New Roman"/>
          <w:lang w:val="en-US"/>
        </w:rPr>
      </w:pPr>
    </w:p>
    <w:p w14:paraId="398C4DFF" w14:textId="64A138C1" w:rsidR="00A53369" w:rsidRDefault="00A53369" w:rsidP="00A53369">
      <w:pPr>
        <w:pStyle w:val="Default"/>
        <w:rPr>
          <w:rFonts w:ascii="Times New Roman" w:hAnsi="Times New Roman" w:cs="Times New Roman"/>
          <w:lang w:val="en-US"/>
        </w:rPr>
      </w:pPr>
      <w:r w:rsidRPr="00DE3226">
        <w:rPr>
          <w:rFonts w:ascii="Times New Roman" w:hAnsi="Times New Roman" w:cs="Times New Roman"/>
          <w:lang w:val="en-US"/>
        </w:rPr>
        <w:t xml:space="preserve">Students who complete the concentration will assemble a portfolio representing their achievement of the Health Humanities PLOs, in addition to the successful completion of their core and supporting courses (and the exams and assignments within these courses). </w:t>
      </w:r>
      <w:r w:rsidR="00C9781D">
        <w:rPr>
          <w:rFonts w:ascii="Times New Roman" w:hAnsi="Times New Roman" w:cs="Times New Roman"/>
          <w:lang w:val="en-US"/>
        </w:rPr>
        <w:t>The Portfolios will be assessed by the Health Humanities Concentration Committee, in cooperation with best practices as guided by the Office of Educational Assessment.</w:t>
      </w:r>
      <w:r w:rsidR="00487FC9">
        <w:rPr>
          <w:rFonts w:ascii="Times New Roman" w:hAnsi="Times New Roman" w:cs="Times New Roman"/>
          <w:lang w:val="en-US"/>
        </w:rPr>
        <w:t xml:space="preserve"> </w:t>
      </w:r>
      <w:r w:rsidR="00C9781D">
        <w:rPr>
          <w:rFonts w:ascii="Times New Roman" w:hAnsi="Times New Roman" w:cs="Times New Roman"/>
          <w:lang w:val="en-US"/>
        </w:rPr>
        <w:t>Presently the HH Committee consists of six Faculty members.</w:t>
      </w:r>
      <w:r w:rsidR="00487FC9">
        <w:rPr>
          <w:rFonts w:ascii="Times New Roman" w:hAnsi="Times New Roman" w:cs="Times New Roman"/>
          <w:lang w:val="en-US"/>
        </w:rPr>
        <w:t xml:space="preserve"> </w:t>
      </w:r>
      <w:r w:rsidR="00C9781D">
        <w:rPr>
          <w:rFonts w:ascii="Times New Roman" w:hAnsi="Times New Roman" w:cs="Times New Roman"/>
          <w:lang w:val="en-US"/>
        </w:rPr>
        <w:t xml:space="preserve">All matters pertaining to Service-Leaning, experiential learning, or Community-Based-Learning will be coordinated with the appropriate offices according to individual needs, and solely determined by </w:t>
      </w:r>
      <w:r w:rsidR="005019BD">
        <w:rPr>
          <w:rFonts w:ascii="Times New Roman" w:hAnsi="Times New Roman" w:cs="Times New Roman"/>
          <w:lang w:val="en-US"/>
        </w:rPr>
        <w:t xml:space="preserve">direct student consultation with </w:t>
      </w:r>
      <w:r w:rsidR="00C9781D">
        <w:rPr>
          <w:rFonts w:ascii="Times New Roman" w:hAnsi="Times New Roman" w:cs="Times New Roman"/>
          <w:lang w:val="en-US"/>
        </w:rPr>
        <w:t>the Co-Directors of the HH Concentration.</w:t>
      </w:r>
    </w:p>
    <w:p w14:paraId="308DB666" w14:textId="77777777" w:rsidR="00C9781D" w:rsidRPr="00DE3226" w:rsidRDefault="00C9781D" w:rsidP="00A53369">
      <w:pPr>
        <w:pStyle w:val="Default"/>
        <w:rPr>
          <w:rStyle w:val="PageNumber"/>
          <w:rFonts w:ascii="Times New Roman" w:hAnsi="Times New Roman" w:cs="Times New Roman"/>
        </w:rPr>
      </w:pPr>
    </w:p>
    <w:p w14:paraId="1A97C111" w14:textId="77777777" w:rsidR="00EF0269" w:rsidRPr="00DE3226" w:rsidRDefault="00EF0269" w:rsidP="00EF0269">
      <w:pPr>
        <w:rPr>
          <w:rStyle w:val="PageNumber"/>
          <w:bCs/>
        </w:rPr>
      </w:pPr>
      <w:r w:rsidRPr="00DE3226">
        <w:rPr>
          <w:rStyle w:val="PageNumber"/>
          <w:bCs/>
        </w:rPr>
        <w:t>Health Humanities PLOs</w:t>
      </w:r>
    </w:p>
    <w:p w14:paraId="4AD668A4" w14:textId="77777777" w:rsidR="00EF0269" w:rsidRPr="00DE3226" w:rsidRDefault="00EF0269" w:rsidP="00EF0269">
      <w:pPr>
        <w:rPr>
          <w:rStyle w:val="PageNumber"/>
          <w:bCs/>
        </w:rPr>
      </w:pPr>
    </w:p>
    <w:p w14:paraId="1E792FA6" w14:textId="77777777" w:rsidR="00EF0269" w:rsidRPr="00DE3226" w:rsidRDefault="00EF0269" w:rsidP="00EF0269">
      <w:pPr>
        <w:pStyle w:val="ListParagraph"/>
        <w:numPr>
          <w:ilvl w:val="0"/>
          <w:numId w:val="3"/>
        </w:numPr>
        <w:rPr>
          <w:rStyle w:val="PageNumber"/>
          <w:rFonts w:ascii="Times New Roman" w:hAnsi="Times New Roman" w:cs="Times New Roman"/>
          <w:bCs/>
        </w:rPr>
      </w:pPr>
      <w:r w:rsidRPr="00DE3226">
        <w:rPr>
          <w:rStyle w:val="PageNumber"/>
          <w:rFonts w:ascii="Times New Roman" w:hAnsi="Times New Roman" w:cs="Times New Roman"/>
          <w:bCs/>
        </w:rPr>
        <w:t xml:space="preserve">Examine medical perspectives and caring practices through the lenses of specific historical, faith-related, and cultural conceptualizations of medicine and healing; </w:t>
      </w:r>
    </w:p>
    <w:p w14:paraId="2A25C581" w14:textId="77777777" w:rsidR="00967A84" w:rsidRPr="00DE3226" w:rsidRDefault="00967A84" w:rsidP="00967A84">
      <w:pPr>
        <w:rPr>
          <w:rStyle w:val="PageNumber"/>
          <w:bCs/>
        </w:rPr>
      </w:pPr>
    </w:p>
    <w:p w14:paraId="49C4DD44" w14:textId="4DAD1278" w:rsidR="00967A84" w:rsidRPr="00DE3226" w:rsidRDefault="00EF0269" w:rsidP="00F960C8">
      <w:pPr>
        <w:pStyle w:val="ListParagraph"/>
        <w:numPr>
          <w:ilvl w:val="0"/>
          <w:numId w:val="3"/>
        </w:numPr>
        <w:rPr>
          <w:rStyle w:val="PageNumber"/>
          <w:rFonts w:ascii="Times New Roman" w:hAnsi="Times New Roman" w:cs="Times New Roman"/>
          <w:bCs/>
        </w:rPr>
      </w:pPr>
      <w:r w:rsidRPr="00DE3226">
        <w:rPr>
          <w:rStyle w:val="PageNumber"/>
          <w:rFonts w:ascii="Times New Roman" w:hAnsi="Times New Roman" w:cs="Times New Roman"/>
          <w:bCs/>
        </w:rPr>
        <w:lastRenderedPageBreak/>
        <w:t xml:space="preserve">Interpret the different and competing narratives in texts across genres and disciplines that shape representations of the human experience of health, wellness, and medicine. </w:t>
      </w:r>
    </w:p>
    <w:p w14:paraId="03AA753E" w14:textId="77777777" w:rsidR="00F960C8" w:rsidRPr="00DE3226" w:rsidRDefault="00F960C8" w:rsidP="00F960C8">
      <w:pPr>
        <w:pStyle w:val="ListParagraph"/>
        <w:rPr>
          <w:rFonts w:ascii="Times New Roman" w:hAnsi="Times New Roman" w:cs="Times New Roman"/>
          <w:bCs/>
        </w:rPr>
      </w:pPr>
    </w:p>
    <w:p w14:paraId="1099864A" w14:textId="5EDFB56B" w:rsidR="00EF0269" w:rsidRPr="00DE3226" w:rsidRDefault="00EF0269" w:rsidP="00EF0269">
      <w:pPr>
        <w:pStyle w:val="ListParagraph"/>
        <w:numPr>
          <w:ilvl w:val="0"/>
          <w:numId w:val="3"/>
        </w:numPr>
        <w:rPr>
          <w:rStyle w:val="PageNumber"/>
          <w:rFonts w:ascii="Times New Roman" w:hAnsi="Times New Roman" w:cs="Times New Roman"/>
          <w:bCs/>
        </w:rPr>
      </w:pPr>
      <w:r w:rsidRPr="00DE3226">
        <w:rPr>
          <w:rStyle w:val="PageNumber"/>
          <w:rFonts w:ascii="Times New Roman" w:hAnsi="Times New Roman" w:cs="Times New Roman"/>
          <w:bCs/>
        </w:rPr>
        <w:t>Analyze the intersection of the biological and cultural factors that contribute to health, illness, injury, and disability</w:t>
      </w:r>
      <w:r w:rsidR="001127F6">
        <w:rPr>
          <w:rStyle w:val="PageNumber"/>
          <w:rFonts w:ascii="Times New Roman" w:hAnsi="Times New Roman" w:cs="Times New Roman"/>
          <w:bCs/>
        </w:rPr>
        <w:t>.</w:t>
      </w:r>
      <w:r w:rsidRPr="00DE3226">
        <w:rPr>
          <w:rStyle w:val="PageNumber"/>
          <w:rFonts w:ascii="Times New Roman" w:hAnsi="Times New Roman" w:cs="Times New Roman"/>
          <w:bCs/>
        </w:rPr>
        <w:t xml:space="preserve"> </w:t>
      </w:r>
    </w:p>
    <w:p w14:paraId="4864DE9C" w14:textId="77777777" w:rsidR="00F960C8" w:rsidRPr="00DE3226" w:rsidRDefault="00F960C8" w:rsidP="00F960C8">
      <w:pPr>
        <w:rPr>
          <w:rStyle w:val="PageNumber"/>
          <w:bCs/>
        </w:rPr>
      </w:pPr>
    </w:p>
    <w:p w14:paraId="5424FF40" w14:textId="77777777" w:rsidR="00EF0269" w:rsidRPr="00DE3226" w:rsidRDefault="00EF0269" w:rsidP="00EF0269">
      <w:pPr>
        <w:pStyle w:val="ListParagraph"/>
        <w:numPr>
          <w:ilvl w:val="0"/>
          <w:numId w:val="3"/>
        </w:numPr>
        <w:rPr>
          <w:rStyle w:val="PageNumber"/>
          <w:rFonts w:ascii="Times New Roman" w:hAnsi="Times New Roman" w:cs="Times New Roman"/>
        </w:rPr>
      </w:pPr>
      <w:r w:rsidRPr="00DE3226">
        <w:rPr>
          <w:rStyle w:val="PageNumber"/>
          <w:rFonts w:ascii="Times New Roman" w:hAnsi="Times New Roman" w:cs="Times New Roman"/>
          <w:bCs/>
        </w:rPr>
        <w:t>Examine the relationships between caregiver and patient, and between patient and illness, injury, or disability to develop critical ethical perspectives.</w:t>
      </w:r>
    </w:p>
    <w:p w14:paraId="2A611763" w14:textId="77777777" w:rsidR="00967A84" w:rsidRPr="00DE3226" w:rsidRDefault="00967A84" w:rsidP="00967A84">
      <w:pPr>
        <w:pStyle w:val="ListParagraph"/>
        <w:rPr>
          <w:rStyle w:val="PageNumber"/>
          <w:rFonts w:ascii="Times New Roman" w:hAnsi="Times New Roman" w:cs="Times New Roman"/>
        </w:rPr>
      </w:pPr>
    </w:p>
    <w:p w14:paraId="2C258120" w14:textId="5D5004F8" w:rsidR="00967A84" w:rsidRDefault="00F960C8" w:rsidP="00967A84">
      <w:pPr>
        <w:rPr>
          <w:rStyle w:val="PageNumber"/>
        </w:rPr>
      </w:pPr>
      <w:r w:rsidRPr="00DE3226">
        <w:rPr>
          <w:rStyle w:val="PageNumber"/>
        </w:rPr>
        <w:t>Students who complete the concentration will complete a survey and meet with the director for an exit interview, which will enable program assessment.</w:t>
      </w:r>
      <w:r w:rsidR="002001EE" w:rsidRPr="00DE3226">
        <w:rPr>
          <w:rStyle w:val="PageNumber"/>
        </w:rPr>
        <w:t xml:space="preserve"> The survey will include several questions to which students will record responses according to a Likert scale, as well as open ended questions that the program director and faculty teaching in the concentration will use to assess the program learning outcomes. The program director will choose a particular PLO to assess each year once graduates begin completing the program.</w:t>
      </w:r>
    </w:p>
    <w:p w14:paraId="0A31DB6F" w14:textId="77777777" w:rsidR="00D71DB6" w:rsidRDefault="00D71DB6" w:rsidP="00760A48">
      <w:pPr>
        <w:rPr>
          <w:b/>
          <w:bCs/>
        </w:rPr>
      </w:pPr>
    </w:p>
    <w:p w14:paraId="4D5C40DD" w14:textId="176EA162" w:rsidR="00760A48" w:rsidRPr="00760A48" w:rsidRDefault="00760A48" w:rsidP="00760A48">
      <w:pPr>
        <w:rPr>
          <w:b/>
          <w:bCs/>
        </w:rPr>
      </w:pPr>
      <w:r w:rsidRPr="00760A48">
        <w:rPr>
          <w:b/>
          <w:bCs/>
        </w:rPr>
        <w:t>PORTFOLIO</w:t>
      </w:r>
    </w:p>
    <w:p w14:paraId="67314130" w14:textId="77777777" w:rsidR="00760A48" w:rsidRPr="00760A48" w:rsidRDefault="00760A48" w:rsidP="00760A48"/>
    <w:p w14:paraId="679EC5A5" w14:textId="61DB7323" w:rsidR="00760A48" w:rsidRPr="00760A48" w:rsidRDefault="00760A48" w:rsidP="00760A48">
      <w:r w:rsidRPr="00760A48">
        <w:t>Students concentrating in Health Humanities will create and present a portfolio of materials documenting and representing their academic development and learning experiences throughout the program curriculum. The portfolio is both an organizational tool and a vehicle for self-reflection. Upon completion of the portfolio in the final semester of their senior year, students will have a one-on-one interview with one of the members of the Health Humanities committee. In these meetings, students will present their portfolios, explaining how the work represents their achievement of the following Health Humanities program learning outcomes:</w:t>
      </w:r>
    </w:p>
    <w:p w14:paraId="51114AC5" w14:textId="77777777" w:rsidR="00760A48" w:rsidRPr="00760A48" w:rsidRDefault="00760A48" w:rsidP="00760A48"/>
    <w:p w14:paraId="1F6E3CC3" w14:textId="77777777" w:rsidR="00760A48" w:rsidRPr="00760A48" w:rsidRDefault="00760A48" w:rsidP="00760A48">
      <w:r w:rsidRPr="00760A48">
        <w:t>Students will demonstrate that they have</w:t>
      </w:r>
      <w:r w:rsidRPr="00760A48">
        <w:br/>
      </w:r>
    </w:p>
    <w:p w14:paraId="631DCC78" w14:textId="77777777" w:rsidR="00760A48" w:rsidRPr="00760A48" w:rsidRDefault="00760A48" w:rsidP="00760A48">
      <w:pPr>
        <w:numPr>
          <w:ilvl w:val="0"/>
          <w:numId w:val="8"/>
        </w:numPr>
      </w:pPr>
      <w:r w:rsidRPr="00760A48">
        <w:t xml:space="preserve">Examine[d] medical perspectives and caring practices through the lenses of specific historical, faith-related, and cultural conceptualizations of medicine and healing; </w:t>
      </w:r>
    </w:p>
    <w:p w14:paraId="093A0A50" w14:textId="77777777" w:rsidR="00760A48" w:rsidRPr="00760A48" w:rsidRDefault="00760A48" w:rsidP="00760A48"/>
    <w:p w14:paraId="12AA5610" w14:textId="77777777" w:rsidR="00760A48" w:rsidRPr="00760A48" w:rsidRDefault="00760A48" w:rsidP="00760A48">
      <w:pPr>
        <w:numPr>
          <w:ilvl w:val="0"/>
          <w:numId w:val="8"/>
        </w:numPr>
      </w:pPr>
      <w:r w:rsidRPr="00760A48">
        <w:t>Interpret[ed] the different and competing narratives in texts across genres and disciplines that shape representations of the human experience of health, wellness, and medicine.</w:t>
      </w:r>
    </w:p>
    <w:p w14:paraId="2BB463BA" w14:textId="77777777" w:rsidR="00760A48" w:rsidRPr="00760A48" w:rsidRDefault="00760A48" w:rsidP="00760A48"/>
    <w:p w14:paraId="4262AE16" w14:textId="77777777" w:rsidR="00760A48" w:rsidRPr="00760A48" w:rsidRDefault="00760A48" w:rsidP="00760A48">
      <w:pPr>
        <w:numPr>
          <w:ilvl w:val="0"/>
          <w:numId w:val="8"/>
        </w:numPr>
      </w:pPr>
      <w:r w:rsidRPr="00760A48">
        <w:t xml:space="preserve">Analyze[d] the intersection of the biological and cultural factors that contribute to health, illness, injury, and disability; </w:t>
      </w:r>
      <w:r w:rsidRPr="00760A48">
        <w:br/>
      </w:r>
    </w:p>
    <w:p w14:paraId="5EBD61D3" w14:textId="77777777" w:rsidR="00760A48" w:rsidRPr="00760A48" w:rsidRDefault="00760A48" w:rsidP="00760A48">
      <w:pPr>
        <w:numPr>
          <w:ilvl w:val="0"/>
          <w:numId w:val="8"/>
        </w:numPr>
      </w:pPr>
      <w:r w:rsidRPr="00760A48">
        <w:t>Examine[d] the relationships between caregiver and patient, and between patient and illness, injury, or disability to develop critical ethical perspectives.</w:t>
      </w:r>
    </w:p>
    <w:p w14:paraId="225EC1B5" w14:textId="77777777" w:rsidR="00760A48" w:rsidRPr="00760A48" w:rsidRDefault="00760A48" w:rsidP="00760A48"/>
    <w:p w14:paraId="2839FF5E" w14:textId="31E9B01B" w:rsidR="00760A48" w:rsidRPr="00760A48" w:rsidRDefault="00760A48" w:rsidP="00760A48">
      <w:r w:rsidRPr="00760A48">
        <w:t xml:space="preserve">The portfolio as both a process and as an artifact will be valuable to students as they consider their future academic and/or professional paths, especially for those students applying to medical, graduate, and </w:t>
      </w:r>
      <w:r w:rsidR="00DE3226" w:rsidRPr="00DE3226">
        <w:t>professional</w:t>
      </w:r>
      <w:r w:rsidRPr="00760A48">
        <w:t xml:space="preserve"> schools. </w:t>
      </w:r>
    </w:p>
    <w:p w14:paraId="49C5DD33" w14:textId="264378A7" w:rsidR="001A4E08" w:rsidRPr="00DE3226" w:rsidRDefault="001A4E08" w:rsidP="00760A48">
      <w:pPr>
        <w:rPr>
          <w:rStyle w:val="PageNumber"/>
        </w:rPr>
      </w:pPr>
    </w:p>
    <w:p w14:paraId="62DD383A" w14:textId="77777777" w:rsidR="00DE3226" w:rsidRPr="00DE3226" w:rsidRDefault="00DE3226" w:rsidP="00DE3226">
      <w:pPr>
        <w:pStyle w:val="Default"/>
        <w:rPr>
          <w:rFonts w:ascii="Times New Roman" w:hAnsi="Times New Roman" w:cs="Times New Roman"/>
          <w:b/>
          <w:bCs/>
          <w:sz w:val="24"/>
          <w:szCs w:val="24"/>
          <w:lang w:val="en-US"/>
        </w:rPr>
      </w:pPr>
      <w:r w:rsidRPr="00DE3226">
        <w:rPr>
          <w:rFonts w:ascii="Times New Roman" w:hAnsi="Times New Roman" w:cs="Times New Roman"/>
          <w:b/>
          <w:bCs/>
          <w:sz w:val="24"/>
          <w:szCs w:val="24"/>
          <w:lang w:val="en-US"/>
        </w:rPr>
        <w:lastRenderedPageBreak/>
        <w:t xml:space="preserve">The purposes of the portfolio and its components are as follows: </w:t>
      </w:r>
    </w:p>
    <w:p w14:paraId="5BC2F9B0" w14:textId="77777777" w:rsidR="00DE3226" w:rsidRPr="00DE3226" w:rsidRDefault="00DE3226" w:rsidP="00DE3226">
      <w:pPr>
        <w:pStyle w:val="Default"/>
        <w:rPr>
          <w:rFonts w:ascii="Times New Roman" w:eastAsia="Helvetica" w:hAnsi="Times New Roman" w:cs="Times New Roman"/>
          <w:sz w:val="24"/>
          <w:szCs w:val="24"/>
          <w:lang w:val="en-US"/>
        </w:rPr>
      </w:pPr>
    </w:p>
    <w:p w14:paraId="5A239D06" w14:textId="77777777" w:rsidR="00E47680" w:rsidRDefault="00DE3226" w:rsidP="00DE3226">
      <w:pPr>
        <w:pStyle w:val="Default"/>
        <w:rPr>
          <w:rFonts w:ascii="Times New Roman" w:hAnsi="Times New Roman" w:cs="Times New Roman"/>
          <w:sz w:val="24"/>
          <w:szCs w:val="24"/>
          <w:lang w:val="en-US"/>
        </w:rPr>
      </w:pPr>
      <w:r w:rsidRPr="00DE3226">
        <w:rPr>
          <w:rFonts w:ascii="Times New Roman" w:hAnsi="Times New Roman" w:cs="Times New Roman"/>
          <w:sz w:val="24"/>
          <w:szCs w:val="24"/>
          <w:lang w:val="en-US"/>
        </w:rPr>
        <w:t xml:space="preserve">1. To document </w:t>
      </w:r>
      <w:r w:rsidR="00E47680">
        <w:rPr>
          <w:rFonts w:ascii="Times New Roman" w:hAnsi="Times New Roman" w:cs="Times New Roman"/>
          <w:sz w:val="24"/>
          <w:szCs w:val="24"/>
          <w:lang w:val="en-US"/>
        </w:rPr>
        <w:t>each</w:t>
      </w:r>
      <w:r w:rsidRPr="00DE3226">
        <w:rPr>
          <w:rFonts w:ascii="Times New Roman" w:hAnsi="Times New Roman" w:cs="Times New Roman"/>
          <w:sz w:val="24"/>
          <w:szCs w:val="24"/>
          <w:lang w:val="en-US"/>
        </w:rPr>
        <w:t xml:space="preserve"> student</w:t>
      </w:r>
      <w:r w:rsidRPr="00DE3226">
        <w:rPr>
          <w:rFonts w:ascii="Times New Roman" w:hAnsi="Times New Roman" w:cs="Times New Roman"/>
          <w:sz w:val="24"/>
          <w:szCs w:val="24"/>
          <w:rtl/>
          <w:lang w:val="en-US"/>
        </w:rPr>
        <w:t>’</w:t>
      </w:r>
      <w:r w:rsidRPr="00DE3226">
        <w:rPr>
          <w:rFonts w:ascii="Times New Roman" w:hAnsi="Times New Roman" w:cs="Times New Roman"/>
          <w:sz w:val="24"/>
          <w:szCs w:val="24"/>
          <w:lang w:val="en-US"/>
        </w:rPr>
        <w:t xml:space="preserve">s progress in the knowledge and understanding of the role of the humanities in shaping health, healthcare, and well-being; </w:t>
      </w:r>
    </w:p>
    <w:p w14:paraId="31B884F5" w14:textId="77777777" w:rsidR="00E47680" w:rsidRDefault="00E47680" w:rsidP="00DE3226">
      <w:pPr>
        <w:pStyle w:val="Default"/>
        <w:rPr>
          <w:rFonts w:ascii="Times New Roman" w:hAnsi="Times New Roman" w:cs="Times New Roman"/>
          <w:sz w:val="24"/>
          <w:szCs w:val="24"/>
          <w:lang w:val="en-US"/>
        </w:rPr>
      </w:pPr>
    </w:p>
    <w:p w14:paraId="244516C2" w14:textId="77777777" w:rsidR="00E47680" w:rsidRDefault="00DE3226" w:rsidP="00DE3226">
      <w:pPr>
        <w:pStyle w:val="Default"/>
        <w:rPr>
          <w:rFonts w:ascii="Times New Roman" w:hAnsi="Times New Roman" w:cs="Times New Roman"/>
          <w:sz w:val="24"/>
          <w:szCs w:val="24"/>
          <w:lang w:val="en-US"/>
        </w:rPr>
      </w:pPr>
      <w:r w:rsidRPr="00DE3226">
        <w:rPr>
          <w:rFonts w:ascii="Times New Roman" w:hAnsi="Times New Roman" w:cs="Times New Roman"/>
          <w:sz w:val="24"/>
          <w:szCs w:val="24"/>
          <w:lang w:val="en-US"/>
        </w:rPr>
        <w:t xml:space="preserve">2. To allow students to assess their </w:t>
      </w:r>
      <w:r w:rsidR="00E47680">
        <w:rPr>
          <w:rFonts w:ascii="Times New Roman" w:hAnsi="Times New Roman" w:cs="Times New Roman"/>
          <w:sz w:val="24"/>
          <w:szCs w:val="24"/>
          <w:lang w:val="en-US"/>
        </w:rPr>
        <w:t xml:space="preserve">own learning </w:t>
      </w:r>
      <w:r w:rsidRPr="00DE3226">
        <w:rPr>
          <w:rFonts w:ascii="Times New Roman" w:hAnsi="Times New Roman" w:cs="Times New Roman"/>
          <w:sz w:val="24"/>
          <w:szCs w:val="24"/>
          <w:lang w:val="en-US"/>
        </w:rPr>
        <w:t xml:space="preserve">in the field of health humanities; and </w:t>
      </w:r>
    </w:p>
    <w:p w14:paraId="135A2AD5" w14:textId="77777777" w:rsidR="00E47680" w:rsidRDefault="00E47680" w:rsidP="00DE3226">
      <w:pPr>
        <w:pStyle w:val="Default"/>
        <w:rPr>
          <w:rFonts w:ascii="Times New Roman" w:hAnsi="Times New Roman" w:cs="Times New Roman"/>
          <w:sz w:val="24"/>
          <w:szCs w:val="24"/>
          <w:lang w:val="en-US"/>
        </w:rPr>
      </w:pPr>
    </w:p>
    <w:p w14:paraId="61F1AF00" w14:textId="0986CC59" w:rsidR="00DE3226" w:rsidRPr="00DE3226" w:rsidRDefault="00DE3226" w:rsidP="00DE3226">
      <w:pPr>
        <w:pStyle w:val="Default"/>
        <w:rPr>
          <w:rFonts w:ascii="Times New Roman" w:eastAsia="Helvetica" w:hAnsi="Times New Roman" w:cs="Times New Roman"/>
          <w:sz w:val="24"/>
          <w:szCs w:val="24"/>
          <w:lang w:val="en-US"/>
        </w:rPr>
      </w:pPr>
      <w:r w:rsidRPr="00DE3226">
        <w:rPr>
          <w:rFonts w:ascii="Times New Roman" w:hAnsi="Times New Roman" w:cs="Times New Roman"/>
          <w:sz w:val="24"/>
          <w:szCs w:val="24"/>
          <w:lang w:val="en-US"/>
        </w:rPr>
        <w:t>3. To assist the Health Humanities concentration director in ensuring that the program</w:t>
      </w:r>
      <w:r w:rsidRPr="00DE3226">
        <w:rPr>
          <w:rFonts w:ascii="Times New Roman" w:hAnsi="Times New Roman" w:cs="Times New Roman"/>
          <w:sz w:val="24"/>
          <w:szCs w:val="24"/>
          <w:rtl/>
          <w:lang w:val="en-US"/>
        </w:rPr>
        <w:t>’</w:t>
      </w:r>
      <w:r w:rsidRPr="00DE3226">
        <w:rPr>
          <w:rFonts w:ascii="Times New Roman" w:hAnsi="Times New Roman" w:cs="Times New Roman"/>
          <w:sz w:val="24"/>
          <w:szCs w:val="24"/>
          <w:lang w:val="en-US"/>
        </w:rPr>
        <w:t xml:space="preserve">s goals are being achieved. </w:t>
      </w:r>
    </w:p>
    <w:p w14:paraId="1FFBE4B4" w14:textId="77777777" w:rsidR="00473B65" w:rsidRPr="00DE3226" w:rsidRDefault="00473B65" w:rsidP="00DE3226">
      <w:pPr>
        <w:rPr>
          <w:rStyle w:val="PageNumber"/>
        </w:rPr>
      </w:pPr>
    </w:p>
    <w:p w14:paraId="598454E8" w14:textId="639394E9" w:rsidR="00375154" w:rsidRPr="00375154" w:rsidRDefault="00375154" w:rsidP="00375154">
      <w:pPr>
        <w:rPr>
          <w:rStyle w:val="PageNumber"/>
          <w:b/>
          <w:bCs/>
        </w:rPr>
      </w:pPr>
      <w:r w:rsidRPr="00375154">
        <w:rPr>
          <w:rStyle w:val="PageNumber"/>
          <w:b/>
          <w:bCs/>
        </w:rPr>
        <w:t>The portfolio should contain the following elements</w:t>
      </w:r>
      <w:r>
        <w:rPr>
          <w:rStyle w:val="PageNumber"/>
          <w:b/>
          <w:bCs/>
        </w:rPr>
        <w:t xml:space="preserve"> (*indicates a r</w:t>
      </w:r>
      <w:r w:rsidRPr="00375154">
        <w:rPr>
          <w:rStyle w:val="PageNumber"/>
          <w:b/>
          <w:bCs/>
        </w:rPr>
        <w:t>equired element</w:t>
      </w:r>
      <w:r>
        <w:rPr>
          <w:rStyle w:val="PageNumber"/>
          <w:b/>
          <w:bCs/>
        </w:rPr>
        <w:t>):</w:t>
      </w:r>
    </w:p>
    <w:p w14:paraId="44FA356F" w14:textId="77777777" w:rsidR="00375154" w:rsidRDefault="00375154" w:rsidP="00375154">
      <w:pPr>
        <w:rPr>
          <w:rStyle w:val="PageNumber"/>
        </w:rPr>
      </w:pPr>
    </w:p>
    <w:p w14:paraId="44BA27AA" w14:textId="75291AE8" w:rsidR="00375154" w:rsidRPr="00375154" w:rsidRDefault="00375154" w:rsidP="00375154">
      <w:pPr>
        <w:rPr>
          <w:rStyle w:val="PageNumber"/>
          <w:b/>
          <w:bCs/>
        </w:rPr>
      </w:pPr>
      <w:r w:rsidRPr="00375154">
        <w:rPr>
          <w:rStyle w:val="PageNumber"/>
          <w:b/>
          <w:bCs/>
        </w:rPr>
        <w:t>*1. Portfolio Cover Letter</w:t>
      </w:r>
    </w:p>
    <w:p w14:paraId="3490875D" w14:textId="4A267E16" w:rsidR="00375154" w:rsidRDefault="00375154" w:rsidP="00375154">
      <w:pPr>
        <w:rPr>
          <w:rStyle w:val="PageNumber"/>
        </w:rPr>
      </w:pPr>
      <w:r w:rsidRPr="00375154">
        <w:rPr>
          <w:rStyle w:val="PageNumber"/>
        </w:rPr>
        <w:t>The student should introduce his or her portfolio with a 1-2 page cover letter. The letter should indicate how and why the student selected and arranged the texts included in the portfolio. Taking his or her formal learning experiences as a starting point, the student should consider how these learning experiences connect to the PLOs.</w:t>
      </w:r>
    </w:p>
    <w:p w14:paraId="41BFDBCC" w14:textId="77777777" w:rsidR="001127F6" w:rsidRPr="00375154" w:rsidRDefault="001127F6" w:rsidP="00375154">
      <w:pPr>
        <w:rPr>
          <w:rStyle w:val="PageNumber"/>
        </w:rPr>
      </w:pPr>
    </w:p>
    <w:p w14:paraId="20144D36" w14:textId="77777777" w:rsidR="00375154" w:rsidRPr="00375154" w:rsidRDefault="00375154" w:rsidP="00375154">
      <w:pPr>
        <w:rPr>
          <w:rStyle w:val="PageNumber"/>
          <w:b/>
          <w:bCs/>
        </w:rPr>
      </w:pPr>
      <w:r w:rsidRPr="00375154">
        <w:rPr>
          <w:rStyle w:val="PageNumber"/>
          <w:b/>
          <w:bCs/>
        </w:rPr>
        <w:t>*2. One essay</w:t>
      </w:r>
    </w:p>
    <w:p w14:paraId="45E2E450" w14:textId="36D15C8A" w:rsidR="00375154" w:rsidRPr="00375154" w:rsidRDefault="00375154" w:rsidP="00375154">
      <w:pPr>
        <w:rPr>
          <w:rStyle w:val="PageNumber"/>
        </w:rPr>
      </w:pPr>
      <w:r w:rsidRPr="00375154">
        <w:rPr>
          <w:rStyle w:val="PageNumber"/>
        </w:rPr>
        <w:t xml:space="preserve">Students should include </w:t>
      </w:r>
      <w:r>
        <w:rPr>
          <w:rStyle w:val="PageNumber"/>
        </w:rPr>
        <w:t xml:space="preserve">at least </w:t>
      </w:r>
      <w:r w:rsidRPr="00375154">
        <w:rPr>
          <w:rStyle w:val="PageNumber"/>
        </w:rPr>
        <w:t xml:space="preserve">one essay on topics related to health humanities. This essay may be drawn from student work in any of the core courses within the concentration. The student should include evidence of work at all stages of the writing process: organization and pre-writing activities, drafts, revision, and editing. </w:t>
      </w:r>
    </w:p>
    <w:p w14:paraId="2C5DA6C8" w14:textId="77777777" w:rsidR="00375154" w:rsidRPr="00375154" w:rsidRDefault="00375154" w:rsidP="00375154">
      <w:pPr>
        <w:rPr>
          <w:rStyle w:val="PageNumber"/>
        </w:rPr>
      </w:pPr>
    </w:p>
    <w:p w14:paraId="1FD418B4" w14:textId="77777777" w:rsidR="00375154" w:rsidRPr="00375154" w:rsidRDefault="00375154" w:rsidP="00375154">
      <w:pPr>
        <w:rPr>
          <w:rStyle w:val="PageNumber"/>
          <w:b/>
          <w:bCs/>
        </w:rPr>
      </w:pPr>
      <w:r w:rsidRPr="00375154">
        <w:rPr>
          <w:rStyle w:val="PageNumber"/>
          <w:b/>
          <w:bCs/>
        </w:rPr>
        <w:t>*3. Two other additional assignments</w:t>
      </w:r>
    </w:p>
    <w:p w14:paraId="26C48743" w14:textId="0023CD50" w:rsidR="00375154" w:rsidRDefault="00375154" w:rsidP="00375154">
      <w:pPr>
        <w:rPr>
          <w:rStyle w:val="PageNumber"/>
        </w:rPr>
      </w:pPr>
      <w:r w:rsidRPr="00375154">
        <w:rPr>
          <w:rStyle w:val="PageNumber"/>
        </w:rPr>
        <w:t>Students should include two additional assignments of their choice</w:t>
      </w:r>
      <w:r>
        <w:rPr>
          <w:rStyle w:val="PageNumber"/>
        </w:rPr>
        <w:t>,</w:t>
      </w:r>
      <w:r w:rsidRPr="00375154">
        <w:rPr>
          <w:rStyle w:val="PageNumber"/>
        </w:rPr>
        <w:t xml:space="preserve"> which may be drawn from student work in any courses within the concentration</w:t>
      </w:r>
      <w:r>
        <w:rPr>
          <w:rStyle w:val="PageNumber"/>
        </w:rPr>
        <w:t xml:space="preserve"> (core courses or supporting courses)</w:t>
      </w:r>
      <w:r w:rsidRPr="00375154">
        <w:rPr>
          <w:rStyle w:val="PageNumber"/>
        </w:rPr>
        <w:t xml:space="preserve">. Examples of </w:t>
      </w:r>
      <w:r>
        <w:rPr>
          <w:rStyle w:val="PageNumber"/>
        </w:rPr>
        <w:t xml:space="preserve">such </w:t>
      </w:r>
      <w:r w:rsidRPr="00375154">
        <w:rPr>
          <w:rStyle w:val="PageNumber"/>
        </w:rPr>
        <w:t>additional assignment</w:t>
      </w:r>
      <w:r>
        <w:rPr>
          <w:rStyle w:val="PageNumber"/>
        </w:rPr>
        <w:t xml:space="preserve">s </w:t>
      </w:r>
      <w:r w:rsidRPr="00375154">
        <w:rPr>
          <w:rStyle w:val="PageNumber"/>
        </w:rPr>
        <w:t xml:space="preserve">include recorded presentations, podcasts, posters, </w:t>
      </w:r>
      <w:r>
        <w:rPr>
          <w:rStyle w:val="PageNumber"/>
        </w:rPr>
        <w:t xml:space="preserve">epidemiological maps, </w:t>
      </w:r>
      <w:r w:rsidRPr="00375154">
        <w:rPr>
          <w:rStyle w:val="PageNumber"/>
        </w:rPr>
        <w:t>ethnographies, body maps, journals, etc.</w:t>
      </w:r>
      <w:r w:rsidR="00487FC9">
        <w:rPr>
          <w:rStyle w:val="PageNumber"/>
        </w:rPr>
        <w:t xml:space="preserve"> </w:t>
      </w:r>
    </w:p>
    <w:p w14:paraId="7886AE21" w14:textId="77777777" w:rsidR="00375154" w:rsidRPr="00375154" w:rsidRDefault="00375154" w:rsidP="00375154">
      <w:pPr>
        <w:rPr>
          <w:rStyle w:val="PageNumber"/>
        </w:rPr>
      </w:pPr>
    </w:p>
    <w:p w14:paraId="5C85CEF5" w14:textId="466EC40F" w:rsidR="00375154" w:rsidRPr="00375154" w:rsidRDefault="00375154" w:rsidP="00375154">
      <w:pPr>
        <w:rPr>
          <w:rStyle w:val="PageNumber"/>
          <w:b/>
          <w:bCs/>
        </w:rPr>
      </w:pPr>
      <w:r w:rsidRPr="00375154">
        <w:rPr>
          <w:rStyle w:val="PageNumber"/>
          <w:b/>
          <w:bCs/>
        </w:rPr>
        <w:t xml:space="preserve">*4. </w:t>
      </w:r>
      <w:r>
        <w:rPr>
          <w:rStyle w:val="PageNumber"/>
          <w:b/>
          <w:bCs/>
        </w:rPr>
        <w:t>Reflection on</w:t>
      </w:r>
      <w:r w:rsidR="001127F6">
        <w:rPr>
          <w:rStyle w:val="PageNumber"/>
          <w:b/>
          <w:bCs/>
        </w:rPr>
        <w:t xml:space="preserve"> Service, Experiential, or</w:t>
      </w:r>
      <w:r>
        <w:rPr>
          <w:rStyle w:val="PageNumber"/>
          <w:b/>
          <w:bCs/>
        </w:rPr>
        <w:t xml:space="preserve"> </w:t>
      </w:r>
      <w:r w:rsidRPr="00375154">
        <w:rPr>
          <w:rStyle w:val="PageNumber"/>
          <w:b/>
          <w:bCs/>
        </w:rPr>
        <w:t>Community Based-Learning</w:t>
      </w:r>
    </w:p>
    <w:p w14:paraId="146180FF" w14:textId="376DE70A" w:rsidR="00375154" w:rsidRDefault="00375154" w:rsidP="00375154">
      <w:pPr>
        <w:rPr>
          <w:rStyle w:val="PageNumber"/>
        </w:rPr>
      </w:pPr>
      <w:r w:rsidRPr="00375154">
        <w:rPr>
          <w:rStyle w:val="PageNumber"/>
        </w:rPr>
        <w:t>The student should write a summary of any and all community volunteer service and service learning experiences in which he or she has been involved, making particular note of any service connected to health, healthcare, and well-being. The student should reflect briefly on the value of service to his or her intellectual and personal growth at The University of Scranton and establish connections between the field of health humanities and his or her involvement and work with the Scranton community.</w:t>
      </w:r>
    </w:p>
    <w:p w14:paraId="0E452B26" w14:textId="77777777" w:rsidR="00375154" w:rsidRPr="00375154" w:rsidRDefault="00375154" w:rsidP="00375154">
      <w:pPr>
        <w:rPr>
          <w:rStyle w:val="PageNumber"/>
          <w:b/>
          <w:bCs/>
        </w:rPr>
      </w:pPr>
    </w:p>
    <w:p w14:paraId="7B9E7101" w14:textId="134C0954" w:rsidR="00375154" w:rsidRPr="00375154" w:rsidRDefault="00375154" w:rsidP="00375154">
      <w:pPr>
        <w:rPr>
          <w:rStyle w:val="PageNumber"/>
          <w:b/>
          <w:bCs/>
        </w:rPr>
      </w:pPr>
      <w:r w:rsidRPr="00375154">
        <w:rPr>
          <w:rStyle w:val="PageNumber"/>
          <w:b/>
          <w:bCs/>
        </w:rPr>
        <w:t>5. Reflection on Extra-curricular activities</w:t>
      </w:r>
    </w:p>
    <w:p w14:paraId="64927D49" w14:textId="106F6FD0" w:rsidR="00DE3226" w:rsidRDefault="00375154" w:rsidP="00375154">
      <w:pPr>
        <w:rPr>
          <w:rStyle w:val="PageNumber"/>
        </w:rPr>
      </w:pPr>
      <w:r w:rsidRPr="00375154">
        <w:rPr>
          <w:rStyle w:val="PageNumber"/>
        </w:rPr>
        <w:t>The student</w:t>
      </w:r>
      <w:r>
        <w:rPr>
          <w:rStyle w:val="PageNumber"/>
        </w:rPr>
        <w:t xml:space="preserve"> may</w:t>
      </w:r>
      <w:r w:rsidRPr="00375154">
        <w:rPr>
          <w:rStyle w:val="PageNumber"/>
        </w:rPr>
        <w:t xml:space="preserve"> write a summary of his or her participation in relevant extra-curricular activities and reflect briefly on how such involvement contributed to his or her learning. Such activities may include attending a lecture, cultural event, or film, creating a poster presentation, </w:t>
      </w:r>
      <w:r>
        <w:rPr>
          <w:rStyle w:val="PageNumber"/>
        </w:rPr>
        <w:t>etc.</w:t>
      </w:r>
    </w:p>
    <w:p w14:paraId="04858891" w14:textId="77777777" w:rsidR="00375154" w:rsidRPr="00DE3226" w:rsidRDefault="00375154" w:rsidP="00375154">
      <w:pPr>
        <w:rPr>
          <w:rStyle w:val="PageNumber"/>
        </w:rPr>
      </w:pPr>
    </w:p>
    <w:p w14:paraId="22AFFAB7" w14:textId="3BC3DEB0" w:rsidR="00EF0269" w:rsidRPr="00DE3226" w:rsidRDefault="00F960C8" w:rsidP="00F960C8">
      <w:pPr>
        <w:pStyle w:val="ListParagraph"/>
        <w:numPr>
          <w:ilvl w:val="0"/>
          <w:numId w:val="4"/>
        </w:numPr>
        <w:rPr>
          <w:rStyle w:val="PageNumber"/>
          <w:rFonts w:ascii="Times New Roman" w:hAnsi="Times New Roman" w:cs="Times New Roman"/>
          <w:b/>
        </w:rPr>
      </w:pPr>
      <w:r w:rsidRPr="00DE3226">
        <w:rPr>
          <w:rStyle w:val="PageNumber"/>
          <w:rFonts w:ascii="Times New Roman" w:hAnsi="Times New Roman" w:cs="Times New Roman"/>
          <w:b/>
        </w:rPr>
        <w:t>Accreditation</w:t>
      </w:r>
    </w:p>
    <w:p w14:paraId="6442C7CC" w14:textId="5279D847" w:rsidR="00F960C8" w:rsidRPr="00DE3226" w:rsidRDefault="00F960C8" w:rsidP="00F960C8">
      <w:pPr>
        <w:rPr>
          <w:rStyle w:val="PageNumber"/>
          <w:b/>
        </w:rPr>
      </w:pPr>
    </w:p>
    <w:p w14:paraId="276B0093" w14:textId="346A08AB" w:rsidR="00F960C8" w:rsidRPr="00DE3226" w:rsidRDefault="00F960C8" w:rsidP="00F960C8">
      <w:pPr>
        <w:rPr>
          <w:rStyle w:val="PageNumber"/>
        </w:rPr>
      </w:pPr>
      <w:r w:rsidRPr="00DE3226">
        <w:rPr>
          <w:rStyle w:val="PageNumber"/>
        </w:rPr>
        <w:t>There is no applicable accreditation for this program.</w:t>
      </w:r>
    </w:p>
    <w:p w14:paraId="6F74A065" w14:textId="716E54C6" w:rsidR="00F960C8" w:rsidRPr="00DE3226" w:rsidRDefault="00F960C8" w:rsidP="00F960C8">
      <w:pPr>
        <w:pStyle w:val="ListParagraph"/>
        <w:numPr>
          <w:ilvl w:val="0"/>
          <w:numId w:val="4"/>
        </w:numPr>
        <w:rPr>
          <w:rStyle w:val="PageNumber"/>
          <w:rFonts w:ascii="Times New Roman" w:hAnsi="Times New Roman" w:cs="Times New Roman"/>
          <w:b/>
        </w:rPr>
      </w:pPr>
      <w:r w:rsidRPr="00DE3226">
        <w:rPr>
          <w:rStyle w:val="PageNumber"/>
          <w:rFonts w:ascii="Times New Roman" w:hAnsi="Times New Roman" w:cs="Times New Roman"/>
          <w:b/>
        </w:rPr>
        <w:lastRenderedPageBreak/>
        <w:t xml:space="preserve">Curriculum Guide </w:t>
      </w:r>
      <w:r w:rsidR="001373A0" w:rsidRPr="00DE3226">
        <w:rPr>
          <w:rStyle w:val="PageNumber"/>
          <w:rFonts w:ascii="Times New Roman" w:hAnsi="Times New Roman" w:cs="Times New Roman"/>
          <w:b/>
        </w:rPr>
        <w:t>(as it might appear on the University web site)</w:t>
      </w:r>
    </w:p>
    <w:p w14:paraId="6A4BA4E8" w14:textId="01E72AE6" w:rsidR="00EF0269" w:rsidRPr="00DE3226" w:rsidRDefault="00EF0269" w:rsidP="00EF0269"/>
    <w:p w14:paraId="68A8E899" w14:textId="345EA294" w:rsidR="00695948" w:rsidRPr="00DE3226" w:rsidRDefault="00ED28B2" w:rsidP="00695948">
      <w:r w:rsidRPr="00DE3226">
        <w:t xml:space="preserve">Health humanities is an interdisciplinary field that advocates for a humanistic perspective of healthcare, focusing on the study of social, ethical, cultural, religious, and historical perspectives. The increasing number of medical and health humanities degrees in higher education both nationally and internationally demonstrates global recognition of the role of empathy in more holistic understandings of health and well-being among caregivers and within healthcare institutions. </w:t>
      </w:r>
      <w:r w:rsidR="00F960C8" w:rsidRPr="00DE3226">
        <w:rPr>
          <w:rStyle w:val="PageNumber"/>
        </w:rPr>
        <w:t xml:space="preserve">This concentration </w:t>
      </w:r>
      <w:r w:rsidRPr="00DE3226">
        <w:rPr>
          <w:rStyle w:val="PageNumber"/>
        </w:rPr>
        <w:t>emphasizes</w:t>
      </w:r>
      <w:r w:rsidR="00F960C8" w:rsidRPr="00DE3226">
        <w:rPr>
          <w:rStyle w:val="PageNumber"/>
        </w:rPr>
        <w:t xml:space="preserve"> the integral role of the humanities in shaping and transforming healthcare, health, and well-being. It aims not only </w:t>
      </w:r>
      <w:r w:rsidRPr="00DE3226">
        <w:rPr>
          <w:rStyle w:val="PageNumber"/>
        </w:rPr>
        <w:t>to provide</w:t>
      </w:r>
      <w:r w:rsidR="00F960C8" w:rsidRPr="00DE3226">
        <w:rPr>
          <w:rStyle w:val="PageNumber"/>
        </w:rPr>
        <w:t xml:space="preserve"> a mor</w:t>
      </w:r>
      <w:r w:rsidRPr="00DE3226">
        <w:rPr>
          <w:rStyle w:val="PageNumber"/>
        </w:rPr>
        <w:t>e comprehensive education to</w:t>
      </w:r>
      <w:r w:rsidR="00F960C8" w:rsidRPr="00DE3226">
        <w:rPr>
          <w:rStyle w:val="PageNumber"/>
        </w:rPr>
        <w:t xml:space="preserve"> students </w:t>
      </w:r>
      <w:r w:rsidRPr="00DE3226">
        <w:rPr>
          <w:rStyle w:val="PageNumber"/>
        </w:rPr>
        <w:t xml:space="preserve">who may be </w:t>
      </w:r>
      <w:r w:rsidR="00F960C8" w:rsidRPr="00DE3226">
        <w:rPr>
          <w:rStyle w:val="PageNumber"/>
        </w:rPr>
        <w:t xml:space="preserve">enrolled in the programs for the health professions at The University of Scranton, but also to </w:t>
      </w:r>
      <w:r w:rsidRPr="00DE3226">
        <w:rPr>
          <w:rStyle w:val="PageNumber"/>
        </w:rPr>
        <w:t>offer other students interested in the intersections of health and humanities study a deepened undergraduate education focused on</w:t>
      </w:r>
      <w:r w:rsidR="00F960C8" w:rsidRPr="00DE3226">
        <w:rPr>
          <w:rStyle w:val="PageNumber"/>
        </w:rPr>
        <w:t xml:space="preserve"> interdisciplinarity, community-based learning, and diversity and intercultural competence</w:t>
      </w:r>
      <w:r w:rsidRPr="00DE3226">
        <w:rPr>
          <w:rStyle w:val="PageNumber"/>
        </w:rPr>
        <w:t>.</w:t>
      </w:r>
      <w:r w:rsidR="00695948" w:rsidRPr="00DE3226">
        <w:rPr>
          <w:rStyle w:val="PageNumber"/>
        </w:rPr>
        <w:t xml:space="preserve"> Completing this concentration will </w:t>
      </w:r>
      <w:r w:rsidR="00695948" w:rsidRPr="00DE3226">
        <w:t xml:space="preserve">help students improve performance in the areas of verbal reasoning, decision making, situational judgement, interpersonal understanding, pattern identification, and intercultural competence, which will make them strong candidates for medical and graduate schools as well as for employers outside of medicine and the health sciences. </w:t>
      </w:r>
    </w:p>
    <w:p w14:paraId="43FF4017" w14:textId="77777777" w:rsidR="00F960C8" w:rsidRPr="00DE3226" w:rsidRDefault="00F960C8" w:rsidP="00F960C8">
      <w:pPr>
        <w:pStyle w:val="BodyA"/>
        <w:suppressAutoHyphens/>
        <w:rPr>
          <w:rFonts w:ascii="Times New Roman" w:eastAsia="Times New Roman" w:hAnsi="Times New Roman" w:cs="Times New Roman"/>
        </w:rPr>
      </w:pPr>
    </w:p>
    <w:p w14:paraId="324A8886" w14:textId="4B1CC10D" w:rsidR="00F960C8" w:rsidRPr="00DE3226" w:rsidRDefault="00F960C8" w:rsidP="00695948">
      <w:pPr>
        <w:pStyle w:val="BodyA"/>
        <w:suppressAutoHyphens/>
        <w:ind w:left="708"/>
        <w:rPr>
          <w:rStyle w:val="PageNumber"/>
          <w:rFonts w:ascii="Times New Roman" w:eastAsia="Times New Roman" w:hAnsi="Times New Roman" w:cs="Times New Roman"/>
        </w:rPr>
      </w:pPr>
      <w:r w:rsidRPr="00DE3226">
        <w:rPr>
          <w:rStyle w:val="PageNumber"/>
          <w:rFonts w:ascii="Times New Roman" w:hAnsi="Times New Roman" w:cs="Times New Roman"/>
          <w:b/>
          <w:bCs/>
        </w:rPr>
        <w:t>Interdisciplinarity</w:t>
      </w:r>
      <w:r w:rsidRPr="00DE3226">
        <w:rPr>
          <w:rStyle w:val="PageNumber"/>
          <w:rFonts w:ascii="Times New Roman" w:hAnsi="Times New Roman" w:cs="Times New Roman"/>
        </w:rPr>
        <w:t xml:space="preserve">: </w:t>
      </w:r>
      <w:r w:rsidR="00ED28B2" w:rsidRPr="00DE3226">
        <w:rPr>
          <w:rStyle w:val="PageNumber"/>
          <w:rFonts w:ascii="Times New Roman" w:hAnsi="Times New Roman" w:cs="Times New Roman"/>
        </w:rPr>
        <w:t>Students will take core courses</w:t>
      </w:r>
      <w:r w:rsidRPr="00DE3226">
        <w:rPr>
          <w:rStyle w:val="PageNumber"/>
          <w:rFonts w:ascii="Times New Roman" w:hAnsi="Times New Roman" w:cs="Times New Roman"/>
        </w:rPr>
        <w:t xml:space="preserve"> in different humanities departments such as Theology and Religious Studies,</w:t>
      </w:r>
      <w:r w:rsidR="00ED28B2" w:rsidRPr="00DE3226">
        <w:rPr>
          <w:rStyle w:val="PageNumber"/>
          <w:rFonts w:ascii="Times New Roman" w:hAnsi="Times New Roman" w:cs="Times New Roman"/>
        </w:rPr>
        <w:t xml:space="preserve"> World Languages and Cultures, </w:t>
      </w:r>
      <w:r w:rsidRPr="00DE3226">
        <w:rPr>
          <w:rStyle w:val="PageNumber"/>
          <w:rFonts w:ascii="Times New Roman" w:hAnsi="Times New Roman" w:cs="Times New Roman"/>
        </w:rPr>
        <w:t xml:space="preserve">and </w:t>
      </w:r>
      <w:r w:rsidR="00ED28B2" w:rsidRPr="00DE3226">
        <w:rPr>
          <w:rStyle w:val="PageNumber"/>
          <w:rFonts w:ascii="Times New Roman" w:hAnsi="Times New Roman" w:cs="Times New Roman"/>
        </w:rPr>
        <w:t>English and Theatre,</w:t>
      </w:r>
      <w:r w:rsidRPr="00DE3226">
        <w:rPr>
          <w:rStyle w:val="PageNumber"/>
          <w:rFonts w:ascii="Times New Roman" w:hAnsi="Times New Roman" w:cs="Times New Roman"/>
        </w:rPr>
        <w:t xml:space="preserve"> </w:t>
      </w:r>
      <w:r w:rsidR="00ED28B2" w:rsidRPr="00DE3226">
        <w:rPr>
          <w:rStyle w:val="PageNumber"/>
          <w:rFonts w:ascii="Times New Roman" w:hAnsi="Times New Roman" w:cs="Times New Roman"/>
        </w:rPr>
        <w:t xml:space="preserve">which </w:t>
      </w:r>
      <w:r w:rsidRPr="00DE3226">
        <w:rPr>
          <w:rStyle w:val="PageNumber"/>
          <w:rFonts w:ascii="Times New Roman" w:hAnsi="Times New Roman" w:cs="Times New Roman"/>
        </w:rPr>
        <w:t>address issues of medical ethics; cultural, ethnic, and religious perspectives on illness, injury, and disability; diachronic views of medicine, health, and well-being; the relationship between community and health; narrative medicine; and communication, translation, and interpretation practices within healthcare settings.</w:t>
      </w:r>
    </w:p>
    <w:p w14:paraId="7064522C" w14:textId="77777777" w:rsidR="00F960C8" w:rsidRPr="00DE3226" w:rsidRDefault="00F960C8" w:rsidP="00F960C8">
      <w:pPr>
        <w:pStyle w:val="BodyA"/>
        <w:suppressAutoHyphens/>
        <w:rPr>
          <w:rFonts w:ascii="Times New Roman" w:eastAsia="Times New Roman" w:hAnsi="Times New Roman" w:cs="Times New Roman"/>
        </w:rPr>
      </w:pPr>
    </w:p>
    <w:p w14:paraId="53B1457D" w14:textId="70CE1450" w:rsidR="00F960C8" w:rsidRPr="00DE3226" w:rsidRDefault="001127F6" w:rsidP="00695948">
      <w:pPr>
        <w:pStyle w:val="BodyA"/>
        <w:suppressAutoHyphens/>
        <w:ind w:left="708"/>
        <w:rPr>
          <w:rStyle w:val="PageNumber"/>
          <w:rFonts w:ascii="Times New Roman" w:eastAsia="Times New Roman" w:hAnsi="Times New Roman" w:cs="Times New Roman"/>
        </w:rPr>
      </w:pPr>
      <w:r>
        <w:rPr>
          <w:rStyle w:val="PageNumber"/>
          <w:rFonts w:ascii="Times New Roman" w:hAnsi="Times New Roman" w:cs="Times New Roman"/>
          <w:b/>
          <w:bCs/>
        </w:rPr>
        <w:t>Experiential and c</w:t>
      </w:r>
      <w:r w:rsidR="00F960C8" w:rsidRPr="00DE3226">
        <w:rPr>
          <w:rStyle w:val="PageNumber"/>
          <w:rFonts w:ascii="Times New Roman" w:hAnsi="Times New Roman" w:cs="Times New Roman"/>
          <w:b/>
          <w:bCs/>
        </w:rPr>
        <w:t>ommunity-based learning</w:t>
      </w:r>
      <w:r w:rsidR="00F960C8" w:rsidRPr="00DE3226">
        <w:rPr>
          <w:rStyle w:val="PageNumber"/>
          <w:rFonts w:ascii="Times New Roman" w:hAnsi="Times New Roman" w:cs="Times New Roman"/>
        </w:rPr>
        <w:t>: In line with the University’s Jesuit mission and values</w:t>
      </w:r>
      <w:r w:rsidR="00695948" w:rsidRPr="00DE3226">
        <w:rPr>
          <w:rStyle w:val="PageNumber"/>
          <w:rFonts w:ascii="Times New Roman" w:hAnsi="Times New Roman" w:cs="Times New Roman"/>
        </w:rPr>
        <w:t>, a</w:t>
      </w:r>
      <w:r w:rsidR="00F960C8" w:rsidRPr="00DE3226">
        <w:rPr>
          <w:rStyle w:val="PageNumber"/>
          <w:rFonts w:ascii="Times New Roman" w:hAnsi="Times New Roman" w:cs="Times New Roman"/>
        </w:rPr>
        <w:t xml:space="preserve"> nu</w:t>
      </w:r>
      <w:r w:rsidR="00ED28B2" w:rsidRPr="00DE3226">
        <w:rPr>
          <w:rStyle w:val="PageNumber"/>
          <w:rFonts w:ascii="Times New Roman" w:hAnsi="Times New Roman" w:cs="Times New Roman"/>
        </w:rPr>
        <w:t xml:space="preserve">mber of courses in the </w:t>
      </w:r>
      <w:r w:rsidR="00F960C8" w:rsidRPr="00DE3226">
        <w:rPr>
          <w:rStyle w:val="PageNumber"/>
          <w:rFonts w:ascii="Times New Roman" w:hAnsi="Times New Roman" w:cs="Times New Roman"/>
        </w:rPr>
        <w:t>concentration incorporate experiential learning and service learning approaches to health humanities</w:t>
      </w:r>
      <w:r w:rsidR="00695948" w:rsidRPr="00DE3226">
        <w:rPr>
          <w:rStyle w:val="PageNumber"/>
          <w:rFonts w:ascii="Times New Roman" w:hAnsi="Times New Roman" w:cs="Times New Roman"/>
        </w:rPr>
        <w:t>, and all students will complete at least ten hours of service/experiential learning.</w:t>
      </w:r>
    </w:p>
    <w:p w14:paraId="52C3AEA4" w14:textId="77777777" w:rsidR="00F960C8" w:rsidRPr="00DE3226" w:rsidRDefault="00F960C8" w:rsidP="00695948">
      <w:pPr>
        <w:pStyle w:val="BodyA"/>
        <w:suppressAutoHyphens/>
        <w:ind w:left="708"/>
        <w:rPr>
          <w:rFonts w:ascii="Times New Roman" w:eastAsia="Times New Roman" w:hAnsi="Times New Roman" w:cs="Times New Roman"/>
        </w:rPr>
      </w:pPr>
    </w:p>
    <w:p w14:paraId="380FA870" w14:textId="22601120" w:rsidR="00F960C8" w:rsidRPr="00DE3226" w:rsidRDefault="00F960C8" w:rsidP="00695948">
      <w:pPr>
        <w:pStyle w:val="BodyA"/>
        <w:suppressAutoHyphens/>
        <w:ind w:left="708"/>
        <w:rPr>
          <w:rStyle w:val="PageNumber"/>
          <w:rFonts w:ascii="Times New Roman" w:eastAsia="Times New Roman" w:hAnsi="Times New Roman" w:cs="Times New Roman"/>
        </w:rPr>
      </w:pPr>
      <w:r w:rsidRPr="00DE3226">
        <w:rPr>
          <w:rStyle w:val="PageNumber"/>
          <w:rFonts w:ascii="Times New Roman" w:hAnsi="Times New Roman" w:cs="Times New Roman"/>
          <w:b/>
          <w:bCs/>
        </w:rPr>
        <w:t>Diversity and intercultural competence</w:t>
      </w:r>
      <w:r w:rsidRPr="00DE3226">
        <w:rPr>
          <w:rStyle w:val="PageNumber"/>
          <w:rFonts w:ascii="Times New Roman" w:hAnsi="Times New Roman" w:cs="Times New Roman"/>
        </w:rPr>
        <w:t xml:space="preserve">: Diversity and inclusion are core institutional strengths critical to the educational mission of The University of Scranton. Humanities disciplines have historically played a crucial role in developing intercultural sensitivity and nuanced understandings of ethnic, racial, economic, cultural, and religious diversity. The concentration </w:t>
      </w:r>
      <w:r w:rsidR="00695948" w:rsidRPr="00DE3226">
        <w:rPr>
          <w:rStyle w:val="PageNumber"/>
          <w:rFonts w:ascii="Times New Roman" w:hAnsi="Times New Roman" w:cs="Times New Roman"/>
        </w:rPr>
        <w:t>focuses</w:t>
      </w:r>
      <w:r w:rsidRPr="00DE3226">
        <w:rPr>
          <w:rStyle w:val="PageNumber"/>
          <w:rFonts w:ascii="Times New Roman" w:hAnsi="Times New Roman" w:cs="Times New Roman"/>
        </w:rPr>
        <w:t xml:space="preserve"> on instilling critically compassionate and empathetic approaches to healthcare, and on fostering intercultural and diversity competence as well as a culture of inclusion in the context of Scranton’s growing Hispanic population and the city’s history of welcoming refugees. </w:t>
      </w:r>
    </w:p>
    <w:p w14:paraId="3A76F0D3" w14:textId="0C3DF121" w:rsidR="001506F0" w:rsidRDefault="001506F0" w:rsidP="001506F0"/>
    <w:p w14:paraId="3F58463F" w14:textId="388BAEC3" w:rsidR="001127F6" w:rsidRDefault="001127F6" w:rsidP="001506F0"/>
    <w:p w14:paraId="61BC3A71" w14:textId="0D1AE575" w:rsidR="001127F6" w:rsidRDefault="001127F6" w:rsidP="001506F0"/>
    <w:p w14:paraId="5BE17C43" w14:textId="74691078" w:rsidR="001127F6" w:rsidRDefault="001127F6" w:rsidP="001506F0"/>
    <w:p w14:paraId="7DA9CEA4" w14:textId="76695DF0" w:rsidR="001127F6" w:rsidRDefault="001127F6" w:rsidP="001506F0"/>
    <w:p w14:paraId="4345C3D6" w14:textId="77777777" w:rsidR="001127F6" w:rsidRPr="00DE3226" w:rsidRDefault="001127F6" w:rsidP="001506F0"/>
    <w:p w14:paraId="3536B635" w14:textId="77777777" w:rsidR="001127F6" w:rsidRPr="00DE3226" w:rsidRDefault="001127F6" w:rsidP="001127F6">
      <w:pPr>
        <w:pStyle w:val="Default"/>
        <w:rPr>
          <w:rFonts w:ascii="Times New Roman" w:hAnsi="Times New Roman" w:cs="Times New Roman"/>
          <w:b/>
          <w:bCs/>
          <w:sz w:val="24"/>
          <w:szCs w:val="24"/>
          <w:u w:color="000000"/>
          <w:lang w:val="en-US"/>
        </w:rPr>
      </w:pPr>
      <w:r w:rsidRPr="00DE3226">
        <w:rPr>
          <w:rFonts w:ascii="Times New Roman" w:hAnsi="Times New Roman" w:cs="Times New Roman"/>
          <w:b/>
          <w:bCs/>
          <w:sz w:val="24"/>
          <w:szCs w:val="24"/>
          <w:u w:color="000000"/>
          <w:lang w:val="en-US"/>
        </w:rPr>
        <w:lastRenderedPageBreak/>
        <w:t>Requirements (18 credits total)</w:t>
      </w:r>
    </w:p>
    <w:p w14:paraId="0EF8E0DB" w14:textId="77777777" w:rsidR="001127F6" w:rsidRDefault="001127F6" w:rsidP="001127F6">
      <w:pPr>
        <w:pStyle w:val="Default"/>
        <w:rPr>
          <w:rFonts w:ascii="Times New Roman" w:hAnsi="Times New Roman" w:cs="Times New Roman"/>
          <w:b/>
          <w:bCs/>
          <w:sz w:val="24"/>
          <w:szCs w:val="24"/>
          <w:u w:color="000000"/>
          <w:lang w:val="en-US"/>
        </w:rPr>
      </w:pPr>
    </w:p>
    <w:p w14:paraId="7CD6DD9D" w14:textId="77777777" w:rsidR="001127F6" w:rsidRDefault="001127F6" w:rsidP="001127F6">
      <w:pPr>
        <w:pStyle w:val="Default"/>
        <w:rPr>
          <w:rFonts w:ascii="Times New Roman" w:hAnsi="Times New Roman" w:cs="Times New Roman"/>
          <w:b/>
          <w:bCs/>
          <w:sz w:val="24"/>
          <w:szCs w:val="24"/>
          <w:u w:color="000000"/>
          <w:lang w:val="en-US"/>
        </w:rPr>
      </w:pPr>
      <w:r>
        <w:rPr>
          <w:rFonts w:ascii="Times New Roman" w:hAnsi="Times New Roman" w:cs="Times New Roman"/>
          <w:b/>
          <w:bCs/>
          <w:sz w:val="24"/>
          <w:szCs w:val="24"/>
          <w:u w:color="000000"/>
          <w:lang w:val="en-US"/>
        </w:rPr>
        <w:tab/>
        <w:t xml:space="preserve">Core Requirements: </w:t>
      </w:r>
    </w:p>
    <w:p w14:paraId="5A00C8BE" w14:textId="77777777" w:rsidR="001127F6" w:rsidRPr="00DE3226" w:rsidRDefault="001127F6" w:rsidP="001127F6">
      <w:pPr>
        <w:pStyle w:val="Default"/>
        <w:rPr>
          <w:rFonts w:ascii="Times New Roman" w:hAnsi="Times New Roman" w:cs="Times New Roman"/>
          <w:b/>
          <w:bCs/>
          <w:sz w:val="24"/>
          <w:szCs w:val="24"/>
          <w:u w:color="000000"/>
          <w:lang w:val="en-US"/>
        </w:rPr>
      </w:pPr>
    </w:p>
    <w:p w14:paraId="6B2212D6" w14:textId="77777777" w:rsidR="001127F6" w:rsidRPr="00BF6420" w:rsidRDefault="001127F6" w:rsidP="001127F6">
      <w:pPr>
        <w:pStyle w:val="ListParagraph"/>
        <w:rPr>
          <w:rFonts w:ascii="Times New Roman" w:hAnsi="Times New Roman" w:cs="Times New Roman"/>
          <w:b/>
          <w:color w:val="000000" w:themeColor="text1"/>
        </w:rPr>
      </w:pPr>
      <w:r w:rsidRPr="00BF6420">
        <w:rPr>
          <w:rFonts w:ascii="Times New Roman" w:hAnsi="Times New Roman" w:cs="Times New Roman"/>
          <w:b/>
          <w:color w:val="000000" w:themeColor="text1"/>
        </w:rPr>
        <w:t>Students must take ENLT 224: Perspectives in Literature about Illness</w:t>
      </w:r>
      <w:r>
        <w:rPr>
          <w:rFonts w:ascii="Times New Roman" w:hAnsi="Times New Roman" w:cs="Times New Roman"/>
          <w:b/>
          <w:color w:val="000000" w:themeColor="text1"/>
        </w:rPr>
        <w:t>.</w:t>
      </w:r>
      <w:r>
        <w:rPr>
          <w:rStyle w:val="FootnoteReference"/>
          <w:rFonts w:ascii="Times New Roman" w:hAnsi="Times New Roman" w:cs="Times New Roman"/>
          <w:b/>
          <w:color w:val="000000" w:themeColor="text1"/>
        </w:rPr>
        <w:footnoteReference w:id="33"/>
      </w:r>
      <w:r w:rsidRPr="00BF6420">
        <w:rPr>
          <w:rFonts w:ascii="Times New Roman" w:hAnsi="Times New Roman" w:cs="Times New Roman"/>
          <w:b/>
          <w:color w:val="000000" w:themeColor="text1"/>
        </w:rPr>
        <w:t xml:space="preserve"> </w:t>
      </w:r>
    </w:p>
    <w:p w14:paraId="709BFD0F" w14:textId="77777777" w:rsidR="001127F6" w:rsidRDefault="001127F6" w:rsidP="001127F6">
      <w:pPr>
        <w:pStyle w:val="ListParagraph"/>
        <w:rPr>
          <w:rFonts w:ascii="Times New Roman" w:hAnsi="Times New Roman" w:cs="Times New Roman"/>
          <w:b/>
          <w:bCs/>
          <w:u w:color="000000"/>
        </w:rPr>
      </w:pPr>
    </w:p>
    <w:p w14:paraId="15399893" w14:textId="477863DD" w:rsidR="001127F6" w:rsidRDefault="001127F6" w:rsidP="001127F6">
      <w:pPr>
        <w:pStyle w:val="ListParagraph"/>
        <w:rPr>
          <w:rFonts w:ascii="Times New Roman" w:hAnsi="Times New Roman" w:cs="Times New Roman"/>
          <w:bCs/>
          <w:color w:val="000000" w:themeColor="text1"/>
        </w:rPr>
      </w:pPr>
      <w:r w:rsidRPr="00DE3226">
        <w:rPr>
          <w:rFonts w:ascii="Times New Roman" w:hAnsi="Times New Roman" w:cs="Times New Roman"/>
          <w:b/>
          <w:bCs/>
          <w:u w:color="000000"/>
        </w:rPr>
        <w:t>S</w:t>
      </w:r>
      <w:r w:rsidRPr="00DE3226">
        <w:rPr>
          <w:rFonts w:ascii="Times New Roman" w:hAnsi="Times New Roman" w:cs="Times New Roman"/>
          <w:u w:color="000000"/>
        </w:rPr>
        <w:t xml:space="preserve">tudents must have </w:t>
      </w:r>
      <w:r w:rsidRPr="00DE3226">
        <w:rPr>
          <w:rFonts w:ascii="Times New Roman" w:hAnsi="Times New Roman" w:cs="Times New Roman"/>
          <w:b/>
          <w:color w:val="000000" w:themeColor="text1"/>
        </w:rPr>
        <w:t xml:space="preserve">three </w:t>
      </w:r>
      <w:proofErr w:type="spellStart"/>
      <w:r w:rsidRPr="00DE3226">
        <w:rPr>
          <w:rFonts w:ascii="Times New Roman" w:hAnsi="Times New Roman" w:cs="Times New Roman"/>
          <w:b/>
          <w:color w:val="000000" w:themeColor="text1"/>
        </w:rPr>
        <w:t>transcripted</w:t>
      </w:r>
      <w:proofErr w:type="spellEnd"/>
      <w:r w:rsidRPr="00DE3226">
        <w:rPr>
          <w:rFonts w:ascii="Times New Roman" w:hAnsi="Times New Roman" w:cs="Times New Roman"/>
          <w:b/>
          <w:color w:val="000000" w:themeColor="text1"/>
        </w:rPr>
        <w:t xml:space="preserve"> credits of a world language other than English among their 18 credits, </w:t>
      </w:r>
      <w:r w:rsidRPr="00DE3226">
        <w:rPr>
          <w:rFonts w:ascii="Times New Roman" w:hAnsi="Times New Roman" w:cs="Times New Roman"/>
          <w:bCs/>
          <w:color w:val="000000" w:themeColor="text1"/>
        </w:rPr>
        <w:t xml:space="preserve">or they must </w:t>
      </w:r>
      <w:r w:rsidRPr="00DE3226">
        <w:rPr>
          <w:rFonts w:ascii="Times New Roman" w:hAnsi="Times New Roman" w:cs="Times New Roman"/>
          <w:b/>
          <w:color w:val="000000" w:themeColor="text1"/>
        </w:rPr>
        <w:t xml:space="preserve">have placed at the 300-level of a language, </w:t>
      </w:r>
      <w:r w:rsidRPr="00DE3226">
        <w:rPr>
          <w:rFonts w:ascii="Times New Roman" w:hAnsi="Times New Roman" w:cs="Times New Roman"/>
          <w:bCs/>
          <w:color w:val="000000" w:themeColor="text1"/>
        </w:rPr>
        <w:t xml:space="preserve">as determined by the University’s Language Learning Center. </w:t>
      </w:r>
    </w:p>
    <w:p w14:paraId="5D9F0A8E" w14:textId="77777777" w:rsidR="001127F6" w:rsidRDefault="001127F6" w:rsidP="001127F6">
      <w:pPr>
        <w:ind w:left="360"/>
        <w:rPr>
          <w:bCs/>
          <w:color w:val="000000" w:themeColor="text1"/>
        </w:rPr>
      </w:pPr>
    </w:p>
    <w:p w14:paraId="3964CA8B" w14:textId="77777777" w:rsidR="001127F6" w:rsidRDefault="001127F6" w:rsidP="001127F6">
      <w:pPr>
        <w:ind w:left="708"/>
        <w:rPr>
          <w:b/>
          <w:color w:val="000000" w:themeColor="text1"/>
        </w:rPr>
      </w:pPr>
      <w:r>
        <w:rPr>
          <w:b/>
          <w:color w:val="000000" w:themeColor="text1"/>
        </w:rPr>
        <w:t xml:space="preserve">Humanities and Health Elective Courses: </w:t>
      </w:r>
    </w:p>
    <w:p w14:paraId="6ABB11FB" w14:textId="77777777" w:rsidR="001127F6" w:rsidRPr="00D62C71" w:rsidRDefault="001127F6" w:rsidP="001127F6">
      <w:pPr>
        <w:ind w:left="708"/>
        <w:rPr>
          <w:b/>
          <w:color w:val="000000" w:themeColor="text1"/>
        </w:rPr>
      </w:pPr>
    </w:p>
    <w:p w14:paraId="25ADC212" w14:textId="77777777" w:rsidR="001127F6" w:rsidRPr="002A0958" w:rsidRDefault="001127F6" w:rsidP="001127F6">
      <w:pPr>
        <w:pStyle w:val="ListParagraph"/>
        <w:rPr>
          <w:color w:val="000000" w:themeColor="text1"/>
        </w:rPr>
      </w:pPr>
      <w:r w:rsidRPr="002A0958">
        <w:rPr>
          <w:rFonts w:ascii="Times New Roman" w:hAnsi="Times New Roman" w:cs="Times New Roman"/>
          <w:u w:color="000000"/>
        </w:rPr>
        <w:t xml:space="preserve">Students must take a combination </w:t>
      </w:r>
      <w:r>
        <w:rPr>
          <w:rFonts w:ascii="Times New Roman" w:hAnsi="Times New Roman" w:cs="Times New Roman"/>
          <w:u w:color="000000"/>
        </w:rPr>
        <w:t>of humanities elective courses</w:t>
      </w:r>
      <w:r w:rsidRPr="002A0958">
        <w:rPr>
          <w:rFonts w:ascii="Times New Roman" w:hAnsi="Times New Roman" w:cs="Times New Roman"/>
          <w:u w:color="000000"/>
        </w:rPr>
        <w:t xml:space="preserve"> (</w:t>
      </w:r>
      <w:r>
        <w:rPr>
          <w:rFonts w:ascii="Times New Roman" w:hAnsi="Times New Roman" w:cs="Times New Roman"/>
          <w:u w:color="000000"/>
        </w:rPr>
        <w:t>6</w:t>
      </w:r>
      <w:r w:rsidRPr="002A0958">
        <w:rPr>
          <w:rFonts w:ascii="Times New Roman" w:hAnsi="Times New Roman" w:cs="Times New Roman"/>
          <w:u w:color="000000"/>
        </w:rPr>
        <w:t xml:space="preserve"> credits, unless a student has placed at the 300-level of a language, as explained in the following model</w:t>
      </w:r>
      <w:r>
        <w:rPr>
          <w:rFonts w:ascii="Times New Roman" w:hAnsi="Times New Roman" w:cs="Times New Roman"/>
          <w:u w:color="000000"/>
        </w:rPr>
        <w:t>—in this case, the student would complete 9 credits of humanities electives</w:t>
      </w:r>
      <w:r w:rsidRPr="002A0958">
        <w:rPr>
          <w:rFonts w:ascii="Times New Roman" w:hAnsi="Times New Roman" w:cs="Times New Roman"/>
          <w:u w:color="000000"/>
        </w:rPr>
        <w:t xml:space="preserve">) and </w:t>
      </w:r>
      <w:r>
        <w:rPr>
          <w:rFonts w:ascii="Times New Roman" w:hAnsi="Times New Roman" w:cs="Times New Roman"/>
          <w:u w:color="000000"/>
        </w:rPr>
        <w:t>health elective courses</w:t>
      </w:r>
      <w:r w:rsidRPr="002A0958">
        <w:rPr>
          <w:rFonts w:ascii="Times New Roman" w:hAnsi="Times New Roman" w:cs="Times New Roman"/>
          <w:u w:color="000000"/>
        </w:rPr>
        <w:t xml:space="preserve"> (6 credits). </w:t>
      </w:r>
      <w:r w:rsidRPr="002A0958">
        <w:rPr>
          <w:rFonts w:ascii="Times New Roman" w:hAnsi="Times New Roman" w:cs="Times New Roman"/>
          <w:b/>
          <w:bCs/>
          <w:u w:color="000000"/>
        </w:rPr>
        <w:t xml:space="preserve">A student may </w:t>
      </w:r>
      <w:r>
        <w:rPr>
          <w:rFonts w:ascii="Times New Roman" w:hAnsi="Times New Roman" w:cs="Times New Roman"/>
          <w:b/>
          <w:bCs/>
          <w:u w:color="000000"/>
        </w:rPr>
        <w:t>apply no more than six credits of courses with any one prefix to the concentration</w:t>
      </w:r>
      <w:r>
        <w:rPr>
          <w:rFonts w:ascii="Times New Roman" w:hAnsi="Times New Roman" w:cs="Times New Roman"/>
          <w:u w:color="000000"/>
        </w:rPr>
        <w:t xml:space="preserve">. </w:t>
      </w:r>
    </w:p>
    <w:p w14:paraId="15FAF7FF" w14:textId="77777777" w:rsidR="001127F6" w:rsidRDefault="001127F6" w:rsidP="001127F6">
      <w:pPr>
        <w:pStyle w:val="ListParagraph"/>
        <w:rPr>
          <w:rFonts w:ascii="Times New Roman" w:hAnsi="Times New Roman" w:cs="Times New Roman"/>
          <w:color w:val="000000" w:themeColor="text1"/>
        </w:rPr>
      </w:pPr>
    </w:p>
    <w:p w14:paraId="5808A1BD" w14:textId="77777777" w:rsidR="001127F6" w:rsidRPr="00D62C71" w:rsidRDefault="001127F6" w:rsidP="001127F6">
      <w:pPr>
        <w:pStyle w:val="ListParagraph"/>
        <w:rPr>
          <w:rFonts w:ascii="Times New Roman" w:hAnsi="Times New Roman" w:cs="Times New Roman"/>
          <w:b/>
          <w:bCs/>
          <w:color w:val="000000" w:themeColor="text1"/>
        </w:rPr>
      </w:pPr>
      <w:r>
        <w:rPr>
          <w:rFonts w:ascii="Times New Roman" w:hAnsi="Times New Roman" w:cs="Times New Roman"/>
          <w:b/>
          <w:bCs/>
          <w:color w:val="000000" w:themeColor="text1"/>
        </w:rPr>
        <w:t>Service or Experiential Learning:</w:t>
      </w:r>
    </w:p>
    <w:p w14:paraId="5E31C106" w14:textId="77777777" w:rsidR="001127F6" w:rsidRDefault="001127F6" w:rsidP="001127F6">
      <w:pPr>
        <w:pStyle w:val="ListParagraph"/>
        <w:rPr>
          <w:rFonts w:ascii="Times New Roman" w:hAnsi="Times New Roman" w:cs="Times New Roman"/>
          <w:color w:val="000000" w:themeColor="text1"/>
        </w:rPr>
      </w:pPr>
    </w:p>
    <w:p w14:paraId="35C6FC91" w14:textId="77777777" w:rsidR="001127F6" w:rsidRPr="00DE3226" w:rsidRDefault="001127F6" w:rsidP="001127F6">
      <w:pPr>
        <w:pStyle w:val="ListParagraph"/>
        <w:rPr>
          <w:rFonts w:ascii="Times New Roman" w:hAnsi="Times New Roman" w:cs="Times New Roman"/>
          <w:color w:val="000000" w:themeColor="text1"/>
        </w:rPr>
      </w:pPr>
      <w:r w:rsidRPr="00DE3226">
        <w:rPr>
          <w:rFonts w:ascii="Times New Roman" w:hAnsi="Times New Roman" w:cs="Times New Roman"/>
          <w:color w:val="000000" w:themeColor="text1"/>
        </w:rPr>
        <w:t xml:space="preserve">Students must complete </w:t>
      </w:r>
      <w:r w:rsidRPr="00DE3226">
        <w:rPr>
          <w:rFonts w:ascii="Times New Roman" w:hAnsi="Times New Roman" w:cs="Times New Roman"/>
          <w:b/>
          <w:color w:val="000000" w:themeColor="text1"/>
        </w:rPr>
        <w:t>ten hours of service</w:t>
      </w:r>
      <w:r>
        <w:rPr>
          <w:rFonts w:ascii="Times New Roman" w:hAnsi="Times New Roman" w:cs="Times New Roman"/>
          <w:b/>
          <w:color w:val="000000" w:themeColor="text1"/>
        </w:rPr>
        <w:t xml:space="preserve"> or </w:t>
      </w:r>
      <w:r w:rsidRPr="00DE3226">
        <w:rPr>
          <w:rFonts w:ascii="Times New Roman" w:hAnsi="Times New Roman" w:cs="Times New Roman"/>
          <w:b/>
          <w:color w:val="000000" w:themeColor="text1"/>
        </w:rPr>
        <w:t>experiential learning</w:t>
      </w:r>
      <w:r w:rsidRPr="00DE3226">
        <w:rPr>
          <w:rFonts w:ascii="Times New Roman" w:hAnsi="Times New Roman" w:cs="Times New Roman"/>
          <w:color w:val="000000" w:themeColor="text1"/>
        </w:rPr>
        <w:t xml:space="preserve">. Students can complete these hours by taking one of the courses that includes community-based learning or experiential learning within the concentration, or they may complete this requirement independently. If a student opts for the latter, </w:t>
      </w:r>
      <w:r>
        <w:rPr>
          <w:rFonts w:ascii="Times New Roman" w:hAnsi="Times New Roman" w:cs="Times New Roman"/>
          <w:color w:val="000000" w:themeColor="text1"/>
        </w:rPr>
        <w:t>the student should speak with the program director for approval and then submit a</w:t>
      </w:r>
      <w:r w:rsidRPr="00DE3226">
        <w:rPr>
          <w:rFonts w:ascii="Times New Roman" w:hAnsi="Times New Roman" w:cs="Times New Roman"/>
          <w:color w:val="000000" w:themeColor="text1"/>
        </w:rPr>
        <w:t xml:space="preserve"> reflection journal on these hours </w:t>
      </w:r>
      <w:r>
        <w:rPr>
          <w:rFonts w:ascii="Times New Roman" w:hAnsi="Times New Roman" w:cs="Times New Roman"/>
          <w:color w:val="000000" w:themeColor="text1"/>
        </w:rPr>
        <w:t>following their completion,</w:t>
      </w:r>
      <w:r w:rsidRPr="00DE3226">
        <w:rPr>
          <w:rFonts w:ascii="Times New Roman" w:hAnsi="Times New Roman" w:cs="Times New Roman"/>
          <w:color w:val="000000" w:themeColor="text1"/>
        </w:rPr>
        <w:t xml:space="preserve"> required </w:t>
      </w:r>
      <w:r>
        <w:rPr>
          <w:rFonts w:ascii="Times New Roman" w:hAnsi="Times New Roman" w:cs="Times New Roman"/>
          <w:color w:val="000000" w:themeColor="text1"/>
        </w:rPr>
        <w:t>prior to graduation.</w:t>
      </w:r>
    </w:p>
    <w:p w14:paraId="2DD4040B" w14:textId="77777777" w:rsidR="001127F6" w:rsidRPr="002A0958" w:rsidRDefault="001127F6" w:rsidP="001127F6">
      <w:pPr>
        <w:pStyle w:val="ListParagraph"/>
        <w:rPr>
          <w:color w:val="000000" w:themeColor="text1"/>
        </w:rPr>
      </w:pPr>
    </w:p>
    <w:p w14:paraId="39ABEAC5" w14:textId="77777777" w:rsidR="001127F6" w:rsidRPr="00DE3226" w:rsidRDefault="001127F6" w:rsidP="001127F6">
      <w:pPr>
        <w:ind w:left="360"/>
        <w:rPr>
          <w:color w:val="000000" w:themeColor="text1"/>
        </w:rPr>
      </w:pPr>
      <w:r w:rsidRPr="00DE3226">
        <w:rPr>
          <w:color w:val="000000" w:themeColor="text1"/>
        </w:rPr>
        <w:t>The</w:t>
      </w:r>
      <w:r>
        <w:rPr>
          <w:color w:val="000000" w:themeColor="text1"/>
        </w:rPr>
        <w:t xml:space="preserve"> world</w:t>
      </w:r>
      <w:r w:rsidRPr="00DE3226">
        <w:rPr>
          <w:color w:val="000000" w:themeColor="text1"/>
        </w:rPr>
        <w:t xml:space="preserve"> language requirement model that follows explains how </w:t>
      </w:r>
      <w:r>
        <w:rPr>
          <w:color w:val="000000" w:themeColor="text1"/>
        </w:rPr>
        <w:t xml:space="preserve">the concentration’s 18 </w:t>
      </w:r>
      <w:r w:rsidRPr="00DE3226">
        <w:rPr>
          <w:color w:val="000000" w:themeColor="text1"/>
        </w:rPr>
        <w:t xml:space="preserve">credits may be distributed 1. for students with three language credits already </w:t>
      </w:r>
      <w:proofErr w:type="spellStart"/>
      <w:r w:rsidRPr="00DE3226">
        <w:rPr>
          <w:color w:val="000000" w:themeColor="text1"/>
        </w:rPr>
        <w:t>transcripted</w:t>
      </w:r>
      <w:proofErr w:type="spellEnd"/>
      <w:r w:rsidRPr="00DE3226">
        <w:rPr>
          <w:color w:val="000000" w:themeColor="text1"/>
        </w:rPr>
        <w:t>, 2. for students without language credits who are beginning at the 100 or 200 level of a language, and 3. for students who have placed at the 300 level of a language. (By “</w:t>
      </w:r>
      <w:proofErr w:type="spellStart"/>
      <w:r w:rsidRPr="00DE3226">
        <w:rPr>
          <w:color w:val="000000" w:themeColor="text1"/>
        </w:rPr>
        <w:t>transcripted</w:t>
      </w:r>
      <w:proofErr w:type="spellEnd"/>
      <w:r w:rsidRPr="00DE3226">
        <w:rPr>
          <w:color w:val="000000" w:themeColor="text1"/>
        </w:rPr>
        <w:t xml:space="preserve">,” we also note that students may have language credits through AP or transfer credits on their transcripts. Placement in a previously studied language will be determined by placement testing in the University’s Language Learning Center.) </w:t>
      </w:r>
    </w:p>
    <w:p w14:paraId="14E7CCBE" w14:textId="46EAE352" w:rsidR="00817F08" w:rsidRDefault="00817F08" w:rsidP="00F53F61">
      <w:pPr>
        <w:rPr>
          <w:b/>
        </w:rPr>
      </w:pPr>
    </w:p>
    <w:p w14:paraId="4605AD97" w14:textId="35A4E4CC" w:rsidR="00F53F61" w:rsidRPr="00DE3226" w:rsidRDefault="00F53F61" w:rsidP="00F53F61">
      <w:pPr>
        <w:rPr>
          <w:b/>
        </w:rPr>
      </w:pPr>
      <w:r w:rsidRPr="00DE3226">
        <w:rPr>
          <w:b/>
        </w:rPr>
        <w:t xml:space="preserve">CORE </w:t>
      </w:r>
      <w:r w:rsidR="001127F6">
        <w:rPr>
          <w:b/>
        </w:rPr>
        <w:t>REQUIREMENTS</w:t>
      </w:r>
      <w:r w:rsidR="00F74153" w:rsidRPr="00DE3226">
        <w:rPr>
          <w:b/>
        </w:rPr>
        <w:t xml:space="preserve"> (</w:t>
      </w:r>
      <w:r w:rsidR="001127F6">
        <w:rPr>
          <w:b/>
        </w:rPr>
        <w:t>3-</w:t>
      </w:r>
      <w:r w:rsidR="007F0011">
        <w:rPr>
          <w:b/>
        </w:rPr>
        <w:t>6 credits)</w:t>
      </w:r>
    </w:p>
    <w:p w14:paraId="2A04ECAC" w14:textId="77777777" w:rsidR="000D2449" w:rsidRDefault="000D2449" w:rsidP="00F53F61"/>
    <w:p w14:paraId="5FC81FD9" w14:textId="1FACE921" w:rsidR="00503ED6" w:rsidRDefault="00B266C7" w:rsidP="001127F6">
      <w:pPr>
        <w:pStyle w:val="ListParagraph"/>
        <w:ind w:left="1080"/>
      </w:pPr>
      <w:r w:rsidRPr="00503ED6">
        <w:rPr>
          <w:rFonts w:ascii="Times New Roman" w:hAnsi="Times New Roman" w:cs="Times New Roman"/>
        </w:rPr>
        <w:t xml:space="preserve">All students are </w:t>
      </w:r>
      <w:r w:rsidRPr="00600E57">
        <w:rPr>
          <w:rFonts w:ascii="Times New Roman" w:hAnsi="Times New Roman" w:cs="Times New Roman"/>
          <w:b/>
          <w:bCs/>
        </w:rPr>
        <w:t>required to take ENLT 224: Perspectives in Literature about Illness</w:t>
      </w:r>
      <w:r w:rsidRPr="00503ED6">
        <w:rPr>
          <w:rFonts w:ascii="Times New Roman" w:hAnsi="Times New Roman" w:cs="Times New Roman"/>
        </w:rPr>
        <w:t xml:space="preserve"> (offered every fall) </w:t>
      </w:r>
    </w:p>
    <w:p w14:paraId="0553C1E2" w14:textId="7941A835" w:rsidR="001127F6" w:rsidRDefault="001127F6" w:rsidP="001127F6">
      <w:pPr>
        <w:pStyle w:val="ListParagraph"/>
        <w:ind w:left="1080"/>
        <w:rPr>
          <w:rFonts w:ascii="Times New Roman" w:hAnsi="Times New Roman" w:cs="Times New Roman"/>
          <w:bCs/>
          <w:color w:val="000000" w:themeColor="text1"/>
        </w:rPr>
      </w:pPr>
      <w:r w:rsidRPr="00DE3226">
        <w:rPr>
          <w:rFonts w:ascii="Times New Roman" w:hAnsi="Times New Roman" w:cs="Times New Roman"/>
          <w:b/>
          <w:bCs/>
          <w:u w:color="000000"/>
        </w:rPr>
        <w:lastRenderedPageBreak/>
        <w:t>S</w:t>
      </w:r>
      <w:r w:rsidRPr="00DE3226">
        <w:rPr>
          <w:rFonts w:ascii="Times New Roman" w:hAnsi="Times New Roman" w:cs="Times New Roman"/>
          <w:u w:color="000000"/>
        </w:rPr>
        <w:t xml:space="preserve">tudents must have </w:t>
      </w:r>
      <w:r w:rsidRPr="00DE3226">
        <w:rPr>
          <w:rFonts w:ascii="Times New Roman" w:hAnsi="Times New Roman" w:cs="Times New Roman"/>
          <w:b/>
          <w:color w:val="000000" w:themeColor="text1"/>
        </w:rPr>
        <w:t xml:space="preserve">three </w:t>
      </w:r>
      <w:proofErr w:type="spellStart"/>
      <w:r w:rsidRPr="00DE3226">
        <w:rPr>
          <w:rFonts w:ascii="Times New Roman" w:hAnsi="Times New Roman" w:cs="Times New Roman"/>
          <w:b/>
          <w:color w:val="000000" w:themeColor="text1"/>
        </w:rPr>
        <w:t>transcripted</w:t>
      </w:r>
      <w:proofErr w:type="spellEnd"/>
      <w:r w:rsidRPr="00DE3226">
        <w:rPr>
          <w:rFonts w:ascii="Times New Roman" w:hAnsi="Times New Roman" w:cs="Times New Roman"/>
          <w:b/>
          <w:color w:val="000000" w:themeColor="text1"/>
        </w:rPr>
        <w:t xml:space="preserve"> credits of a world language other than English among their 18 credits, </w:t>
      </w:r>
      <w:r w:rsidRPr="00DE3226">
        <w:rPr>
          <w:rFonts w:ascii="Times New Roman" w:hAnsi="Times New Roman" w:cs="Times New Roman"/>
          <w:bCs/>
          <w:color w:val="000000" w:themeColor="text1"/>
        </w:rPr>
        <w:t xml:space="preserve">or they must </w:t>
      </w:r>
      <w:r w:rsidRPr="00DE3226">
        <w:rPr>
          <w:rFonts w:ascii="Times New Roman" w:hAnsi="Times New Roman" w:cs="Times New Roman"/>
          <w:b/>
          <w:color w:val="000000" w:themeColor="text1"/>
        </w:rPr>
        <w:t xml:space="preserve">have placed at the 300-level of a language, </w:t>
      </w:r>
      <w:r w:rsidRPr="00DE3226">
        <w:rPr>
          <w:rFonts w:ascii="Times New Roman" w:hAnsi="Times New Roman" w:cs="Times New Roman"/>
          <w:bCs/>
          <w:color w:val="000000" w:themeColor="text1"/>
        </w:rPr>
        <w:t xml:space="preserve">as determined by the University’s Language Learning Center. </w:t>
      </w:r>
    </w:p>
    <w:p w14:paraId="66DEE06E" w14:textId="77777777" w:rsidR="001127F6" w:rsidRDefault="001127F6" w:rsidP="001127F6">
      <w:pPr>
        <w:pStyle w:val="ListParagraph"/>
        <w:ind w:left="1080"/>
        <w:rPr>
          <w:rFonts w:ascii="Times New Roman" w:hAnsi="Times New Roman" w:cs="Times New Roman"/>
          <w:bCs/>
          <w:color w:val="000000" w:themeColor="text1"/>
        </w:rPr>
      </w:pPr>
    </w:p>
    <w:p w14:paraId="3B80D53C" w14:textId="0D675195" w:rsidR="000953CC" w:rsidRPr="00DE3226" w:rsidRDefault="00FA7224" w:rsidP="002A0958">
      <w:pPr>
        <w:ind w:firstLine="708"/>
        <w:rPr>
          <w:b/>
          <w:bCs/>
        </w:rPr>
      </w:pPr>
      <w:r w:rsidRPr="001127F6">
        <w:rPr>
          <w:b/>
          <w:bCs/>
        </w:rPr>
        <w:t>World</w:t>
      </w:r>
      <w:r>
        <w:rPr>
          <w:b/>
          <w:bCs/>
        </w:rPr>
        <w:t xml:space="preserve"> </w:t>
      </w:r>
      <w:r w:rsidR="00365216" w:rsidRPr="00DE3226">
        <w:rPr>
          <w:b/>
          <w:bCs/>
        </w:rPr>
        <w:t>Language Requirement Options</w:t>
      </w:r>
      <w:r w:rsidR="001127F6">
        <w:rPr>
          <w:rStyle w:val="FootnoteReference"/>
          <w:b/>
          <w:bCs/>
        </w:rPr>
        <w:footnoteReference w:id="34"/>
      </w:r>
    </w:p>
    <w:p w14:paraId="609C6799" w14:textId="6E85D109" w:rsidR="00365216" w:rsidRPr="00DE3226" w:rsidRDefault="00365216" w:rsidP="00F53F61">
      <w:pPr>
        <w:rPr>
          <w:b/>
          <w:bCs/>
        </w:rPr>
      </w:pPr>
      <w:r w:rsidRPr="00DE3226">
        <w:rPr>
          <w:b/>
          <w:bCs/>
        </w:rPr>
        <w:tab/>
        <w:t>(for students who have not placed at the 300-level of a language)</w:t>
      </w:r>
    </w:p>
    <w:p w14:paraId="371DC066" w14:textId="4F5DB669" w:rsidR="00365216" w:rsidRPr="00DE3226" w:rsidRDefault="00365216" w:rsidP="00365216">
      <w:r w:rsidRPr="00DE3226">
        <w:t>ASL, ARAB, CNS, FREN,</w:t>
      </w:r>
      <w:r w:rsidR="005019BD">
        <w:t xml:space="preserve"> </w:t>
      </w:r>
      <w:r w:rsidRPr="00DE3226">
        <w:t>GERM, GRK</w:t>
      </w:r>
      <w:r w:rsidR="00AB3E67" w:rsidRPr="00DE3226">
        <w:tab/>
        <w:t xml:space="preserve">101, 102, 211, 212, 311, 312 (which </w:t>
      </w:r>
    </w:p>
    <w:p w14:paraId="5B2CDB96" w14:textId="2AB70259" w:rsidR="000953CC" w:rsidRDefault="00365216" w:rsidP="00AB3E67">
      <w:pPr>
        <w:ind w:left="4245" w:hanging="4245"/>
      </w:pPr>
      <w:r w:rsidRPr="00DE3226">
        <w:t xml:space="preserve">ITAL, JPN, LAT, </w:t>
      </w:r>
      <w:r w:rsidR="00AB3E67" w:rsidRPr="00DE3226">
        <w:t>PORT, RUSS, or SPAN</w:t>
      </w:r>
      <w:r w:rsidR="000953CC" w:rsidRPr="00DE3226">
        <w:t xml:space="preserve"> </w:t>
      </w:r>
      <w:r w:rsidR="00AB3E67" w:rsidRPr="00DE3226">
        <w:tab/>
        <w:t xml:space="preserve">correspond to, </w:t>
      </w:r>
      <w:r w:rsidR="000953CC" w:rsidRPr="00DE3226">
        <w:t>levels elementary, intermediate, and advanced in all languages).</w:t>
      </w:r>
    </w:p>
    <w:p w14:paraId="49E1D7BD" w14:textId="77777777" w:rsidR="00ED2183" w:rsidRDefault="00ED2183" w:rsidP="00AB3E67">
      <w:pPr>
        <w:ind w:left="4245" w:hanging="4245"/>
      </w:pPr>
    </w:p>
    <w:p w14:paraId="2D521AD3" w14:textId="1F8D565F" w:rsidR="00600E57" w:rsidRDefault="00600E57" w:rsidP="00AB3E67">
      <w:pPr>
        <w:ind w:left="4245" w:hanging="4245"/>
        <w:rPr>
          <w:b/>
          <w:bCs/>
        </w:rPr>
      </w:pPr>
      <w:r>
        <w:rPr>
          <w:b/>
          <w:bCs/>
        </w:rPr>
        <w:t>HUMANITIES</w:t>
      </w:r>
      <w:r w:rsidRPr="00727E8B">
        <w:rPr>
          <w:b/>
          <w:bCs/>
        </w:rPr>
        <w:t xml:space="preserve"> </w:t>
      </w:r>
      <w:r>
        <w:rPr>
          <w:b/>
          <w:bCs/>
        </w:rPr>
        <w:t>ELECTIVES</w:t>
      </w:r>
      <w:r w:rsidRPr="00727E8B">
        <w:rPr>
          <w:b/>
          <w:bCs/>
        </w:rPr>
        <w:t xml:space="preserve"> </w:t>
      </w:r>
      <w:r>
        <w:rPr>
          <w:b/>
          <w:bCs/>
        </w:rPr>
        <w:t>(6-9 credits)</w:t>
      </w:r>
    </w:p>
    <w:p w14:paraId="2C35BBA8" w14:textId="77777777" w:rsidR="00600E57" w:rsidRDefault="00600E57" w:rsidP="00AB3E67">
      <w:pPr>
        <w:ind w:left="4245" w:hanging="4245"/>
        <w:rPr>
          <w:b/>
          <w:bCs/>
        </w:rPr>
      </w:pPr>
    </w:p>
    <w:p w14:paraId="47FADA7C" w14:textId="77777777" w:rsidR="00600E57" w:rsidRDefault="00727E8B" w:rsidP="00600E57">
      <w:pPr>
        <w:ind w:left="4245" w:hanging="4245"/>
        <w:rPr>
          <w:b/>
          <w:bCs/>
        </w:rPr>
      </w:pPr>
      <w:r>
        <w:rPr>
          <w:b/>
          <w:bCs/>
        </w:rPr>
        <w:t xml:space="preserve">(Students will take </w:t>
      </w:r>
      <w:r w:rsidR="007F0011">
        <w:rPr>
          <w:b/>
          <w:bCs/>
        </w:rPr>
        <w:t>6</w:t>
      </w:r>
      <w:r w:rsidR="00BA4636">
        <w:rPr>
          <w:b/>
          <w:bCs/>
        </w:rPr>
        <w:t xml:space="preserve"> credits from these courses below unless</w:t>
      </w:r>
      <w:r w:rsidR="00600E57">
        <w:rPr>
          <w:b/>
          <w:bCs/>
        </w:rPr>
        <w:t xml:space="preserve"> </w:t>
      </w:r>
      <w:r w:rsidR="00BA4636">
        <w:rPr>
          <w:b/>
          <w:bCs/>
        </w:rPr>
        <w:t>they</w:t>
      </w:r>
      <w:r w:rsidR="00E302AB">
        <w:rPr>
          <w:b/>
          <w:bCs/>
        </w:rPr>
        <w:t xml:space="preserve"> have placed at the</w:t>
      </w:r>
      <w:r w:rsidR="00600E57">
        <w:rPr>
          <w:b/>
          <w:bCs/>
        </w:rPr>
        <w:t xml:space="preserve"> </w:t>
      </w:r>
    </w:p>
    <w:p w14:paraId="194876F4" w14:textId="77777777" w:rsidR="00600E57" w:rsidRDefault="00E302AB" w:rsidP="00600E57">
      <w:pPr>
        <w:ind w:left="4245" w:hanging="4245"/>
        <w:rPr>
          <w:b/>
          <w:bCs/>
        </w:rPr>
      </w:pPr>
      <w:r>
        <w:rPr>
          <w:b/>
          <w:bCs/>
        </w:rPr>
        <w:t xml:space="preserve">300-level of a language; students who have placed at </w:t>
      </w:r>
      <w:r w:rsidR="00682A0E">
        <w:rPr>
          <w:b/>
          <w:bCs/>
        </w:rPr>
        <w:t>the 30</w:t>
      </w:r>
      <w:r w:rsidR="00600E57">
        <w:rPr>
          <w:b/>
          <w:bCs/>
        </w:rPr>
        <w:t xml:space="preserve">0 </w:t>
      </w:r>
      <w:r w:rsidR="00682A0E">
        <w:rPr>
          <w:b/>
          <w:bCs/>
        </w:rPr>
        <w:t>level of a language</w:t>
      </w:r>
      <w:r>
        <w:rPr>
          <w:b/>
          <w:bCs/>
        </w:rPr>
        <w:t xml:space="preserve"> will</w:t>
      </w:r>
    </w:p>
    <w:p w14:paraId="2C13E4CB" w14:textId="77777777" w:rsidR="00600E57" w:rsidRDefault="00E302AB" w:rsidP="00600E57">
      <w:pPr>
        <w:ind w:left="4245" w:hanging="4245"/>
        <w:rPr>
          <w:b/>
          <w:bCs/>
        </w:rPr>
      </w:pPr>
      <w:r>
        <w:rPr>
          <w:b/>
          <w:bCs/>
        </w:rPr>
        <w:t xml:space="preserve">take </w:t>
      </w:r>
      <w:r w:rsidR="007F0011">
        <w:rPr>
          <w:b/>
          <w:bCs/>
        </w:rPr>
        <w:t>9</w:t>
      </w:r>
      <w:r>
        <w:rPr>
          <w:b/>
          <w:bCs/>
        </w:rPr>
        <w:t xml:space="preserve"> credits from these courses below.</w:t>
      </w:r>
      <w:r w:rsidR="007F0011">
        <w:rPr>
          <w:b/>
          <w:bCs/>
        </w:rPr>
        <w:t xml:space="preserve"> Students may not</w:t>
      </w:r>
      <w:r w:rsidR="00600E57">
        <w:rPr>
          <w:b/>
          <w:bCs/>
        </w:rPr>
        <w:t xml:space="preserve"> </w:t>
      </w:r>
      <w:r w:rsidR="0084717D">
        <w:rPr>
          <w:b/>
          <w:bCs/>
        </w:rPr>
        <w:t>apply more than 6 credits</w:t>
      </w:r>
    </w:p>
    <w:p w14:paraId="5343DF60" w14:textId="187DC5A4" w:rsidR="00ED2183" w:rsidRPr="00682A0E" w:rsidRDefault="0084717D" w:rsidP="00600E57">
      <w:pPr>
        <w:ind w:left="4245" w:hanging="4245"/>
        <w:rPr>
          <w:b/>
          <w:bCs/>
        </w:rPr>
      </w:pPr>
      <w:r>
        <w:rPr>
          <w:b/>
          <w:bCs/>
        </w:rPr>
        <w:t>with any one prefix to the concentration.</w:t>
      </w:r>
      <w:r w:rsidR="00E302AB">
        <w:rPr>
          <w:b/>
          <w:bCs/>
        </w:rPr>
        <w:t>)</w:t>
      </w:r>
    </w:p>
    <w:p w14:paraId="0EFA996F" w14:textId="77777777" w:rsidR="00ED2183" w:rsidRPr="00DE3226" w:rsidRDefault="00ED2183" w:rsidP="00AB3E67">
      <w:pPr>
        <w:ind w:left="4245" w:hanging="4245"/>
      </w:pPr>
    </w:p>
    <w:p w14:paraId="0764A39D" w14:textId="3AE57256" w:rsidR="0031770F" w:rsidRDefault="0031770F" w:rsidP="000953CC">
      <w:pPr>
        <w:pStyle w:val="Default"/>
        <w:rPr>
          <w:rFonts w:ascii="Times New Roman" w:hAnsi="Times New Roman" w:cs="Times New Roman"/>
          <w:sz w:val="24"/>
          <w:szCs w:val="24"/>
          <w:u w:color="000000"/>
          <w:lang w:val="en-US"/>
        </w:rPr>
      </w:pPr>
      <w:r w:rsidRPr="00DE3226">
        <w:rPr>
          <w:rFonts w:ascii="Times New Roman" w:hAnsi="Times New Roman" w:cs="Times New Roman"/>
          <w:sz w:val="24"/>
          <w:szCs w:val="24"/>
          <w:u w:color="000000"/>
          <w:lang w:val="en-US"/>
        </w:rPr>
        <w:t>CHS 330: Introduction to Art Therapy</w:t>
      </w:r>
    </w:p>
    <w:p w14:paraId="5B19A356" w14:textId="21C82D3B" w:rsidR="00ED2183" w:rsidRPr="005019BD" w:rsidRDefault="00AB3E67" w:rsidP="000953CC">
      <w:pPr>
        <w:pStyle w:val="Default"/>
        <w:rPr>
          <w:rFonts w:ascii="Times New Roman" w:hAnsi="Times New Roman" w:cs="Times New Roman"/>
          <w:sz w:val="24"/>
          <w:szCs w:val="24"/>
          <w:u w:color="000000"/>
          <w:lang w:val="en-US"/>
        </w:rPr>
      </w:pPr>
      <w:r w:rsidRPr="00DE3226">
        <w:rPr>
          <w:rFonts w:ascii="Times New Roman" w:hAnsi="Times New Roman" w:cs="Times New Roman"/>
          <w:sz w:val="24"/>
          <w:szCs w:val="24"/>
          <w:u w:color="000000"/>
          <w:lang w:val="en-US"/>
        </w:rPr>
        <w:t>EN</w:t>
      </w:r>
      <w:r w:rsidR="000D0ACC">
        <w:rPr>
          <w:rFonts w:ascii="Times New Roman" w:hAnsi="Times New Roman" w:cs="Times New Roman"/>
          <w:sz w:val="24"/>
          <w:szCs w:val="24"/>
          <w:u w:color="000000"/>
          <w:lang w:val="en-US"/>
        </w:rPr>
        <w:t>LT</w:t>
      </w:r>
      <w:r w:rsidRPr="00DE3226">
        <w:rPr>
          <w:rFonts w:ascii="Times New Roman" w:hAnsi="Times New Roman" w:cs="Times New Roman"/>
          <w:sz w:val="24"/>
          <w:szCs w:val="24"/>
          <w:u w:color="000000"/>
          <w:lang w:val="en-US"/>
        </w:rPr>
        <w:t xml:space="preserve"> 254: Bodybuilding: Narratives of Health and Ability</w:t>
      </w:r>
    </w:p>
    <w:p w14:paraId="5B39A9E6" w14:textId="69466243" w:rsidR="00ED2183" w:rsidRPr="00DE3226" w:rsidRDefault="00A25E9C" w:rsidP="00A25E9C">
      <w:r w:rsidRPr="00DE3226">
        <w:rPr>
          <w:u w:color="000000"/>
        </w:rPr>
        <w:t xml:space="preserve">LAS 195: </w:t>
      </w:r>
      <w:r w:rsidRPr="00DE3226">
        <w:t>Perspectives of Health, Healthcare, and Well-being in Latin America</w:t>
      </w:r>
    </w:p>
    <w:p w14:paraId="23F3EB1B" w14:textId="77777777" w:rsidR="00AB3E67" w:rsidRPr="00DE3226" w:rsidRDefault="00AB3E67" w:rsidP="000953CC">
      <w:r w:rsidRPr="00DE3226">
        <w:t>SPAN 315: Spanish for the Health Professions</w:t>
      </w:r>
    </w:p>
    <w:p w14:paraId="5F8F20FB" w14:textId="77777777" w:rsidR="00AB3E67" w:rsidRPr="00DE3226" w:rsidRDefault="00AB3E67" w:rsidP="000953CC">
      <w:r w:rsidRPr="00DE3226">
        <w:t>SPAN 324: Fictions of the Body</w:t>
      </w:r>
    </w:p>
    <w:p w14:paraId="4A1820EE" w14:textId="1E1FE9E6" w:rsidR="00ED2183" w:rsidRPr="000D0ACC" w:rsidRDefault="00AB3E67" w:rsidP="000953CC">
      <w:r w:rsidRPr="000D0ACC">
        <w:t>SPAN 335: Service and the Hispanic Community</w:t>
      </w:r>
    </w:p>
    <w:p w14:paraId="0C4EAA6C" w14:textId="30703CC2" w:rsidR="005019BD" w:rsidRPr="000D0ACC" w:rsidRDefault="00ED2183" w:rsidP="00ED2183">
      <w:pPr>
        <w:pStyle w:val="Default"/>
        <w:rPr>
          <w:rFonts w:ascii="Times New Roman" w:hAnsi="Times New Roman" w:cs="Times New Roman"/>
          <w:sz w:val="24"/>
          <w:szCs w:val="24"/>
          <w:u w:color="000000"/>
          <w:lang w:val="en-US"/>
        </w:rPr>
      </w:pPr>
      <w:r w:rsidRPr="000D0ACC">
        <w:rPr>
          <w:rFonts w:ascii="Times New Roman" w:hAnsi="Times New Roman" w:cs="Times New Roman"/>
          <w:sz w:val="24"/>
          <w:szCs w:val="24"/>
          <w:u w:color="000000"/>
          <w:lang w:val="en-US"/>
        </w:rPr>
        <w:t>PHIL 212: Medical Ethics</w:t>
      </w:r>
    </w:p>
    <w:p w14:paraId="0DEF77FB" w14:textId="44CB90B9" w:rsidR="00ED2183" w:rsidRPr="000D0ACC" w:rsidRDefault="005019BD" w:rsidP="005019BD">
      <w:pPr>
        <w:pStyle w:val="Default"/>
        <w:rPr>
          <w:rFonts w:ascii="Times New Roman" w:hAnsi="Times New Roman" w:cs="Times New Roman"/>
          <w:sz w:val="24"/>
          <w:szCs w:val="24"/>
        </w:rPr>
      </w:pPr>
      <w:r w:rsidRPr="000D0ACC">
        <w:rPr>
          <w:rFonts w:ascii="Times New Roman" w:hAnsi="Times New Roman" w:cs="Times New Roman"/>
          <w:sz w:val="24"/>
          <w:szCs w:val="24"/>
        </w:rPr>
        <w:t xml:space="preserve">PHIL 337: </w:t>
      </w:r>
      <w:proofErr w:type="spellStart"/>
      <w:r w:rsidRPr="000D0ACC">
        <w:rPr>
          <w:rFonts w:ascii="Times New Roman" w:hAnsi="Times New Roman" w:cs="Times New Roman"/>
          <w:sz w:val="24"/>
          <w:szCs w:val="24"/>
        </w:rPr>
        <w:t>The</w:t>
      </w:r>
      <w:proofErr w:type="spellEnd"/>
      <w:r w:rsidRPr="000D0ACC">
        <w:rPr>
          <w:rFonts w:ascii="Times New Roman" w:hAnsi="Times New Roman" w:cs="Times New Roman"/>
          <w:sz w:val="24"/>
          <w:szCs w:val="24"/>
        </w:rPr>
        <w:t xml:space="preserve"> Art </w:t>
      </w:r>
      <w:proofErr w:type="spellStart"/>
      <w:r w:rsidRPr="000D0ACC">
        <w:rPr>
          <w:rFonts w:ascii="Times New Roman" w:hAnsi="Times New Roman" w:cs="Times New Roman"/>
          <w:sz w:val="24"/>
          <w:szCs w:val="24"/>
        </w:rPr>
        <w:t>of</w:t>
      </w:r>
      <w:proofErr w:type="spellEnd"/>
      <w:r w:rsidRPr="000D0ACC">
        <w:rPr>
          <w:rFonts w:ascii="Times New Roman" w:hAnsi="Times New Roman" w:cs="Times New Roman"/>
          <w:sz w:val="24"/>
          <w:szCs w:val="24"/>
        </w:rPr>
        <w:t xml:space="preserve"> Living</w:t>
      </w:r>
    </w:p>
    <w:p w14:paraId="0DED1D42" w14:textId="77777777" w:rsidR="00AB3E67" w:rsidRPr="00DE3226" w:rsidRDefault="00AB3E67" w:rsidP="000953CC">
      <w:pPr>
        <w:pStyle w:val="Default"/>
        <w:rPr>
          <w:rFonts w:ascii="Times New Roman" w:eastAsia="Times New Roman" w:hAnsi="Times New Roman" w:cs="Times New Roman"/>
          <w:sz w:val="24"/>
          <w:szCs w:val="24"/>
          <w:u w:color="000000"/>
          <w:lang w:val="en-US"/>
        </w:rPr>
      </w:pPr>
      <w:r w:rsidRPr="000D0ACC">
        <w:rPr>
          <w:rFonts w:ascii="Times New Roman" w:hAnsi="Times New Roman" w:cs="Times New Roman"/>
          <w:sz w:val="24"/>
          <w:szCs w:val="24"/>
          <w:u w:color="000000"/>
          <w:lang w:val="en-US"/>
        </w:rPr>
        <w:t>T/RS 226: Faith and Healing:</w:t>
      </w:r>
      <w:r w:rsidRPr="00DE3226">
        <w:rPr>
          <w:rFonts w:ascii="Times New Roman" w:hAnsi="Times New Roman" w:cs="Times New Roman"/>
          <w:sz w:val="24"/>
          <w:szCs w:val="24"/>
          <w:u w:color="000000"/>
          <w:lang w:val="en-US"/>
        </w:rPr>
        <w:t xml:space="preserve"> God and Contemporary Medicine</w:t>
      </w:r>
    </w:p>
    <w:p w14:paraId="6D99B094" w14:textId="7D7CBE6A" w:rsidR="00AB3E67" w:rsidRPr="00DE3226" w:rsidRDefault="00AB3E67" w:rsidP="000953CC">
      <w:pPr>
        <w:rPr>
          <w:color w:val="000000"/>
          <w:shd w:val="clear" w:color="auto" w:fill="FFFFFF"/>
        </w:rPr>
      </w:pPr>
      <w:r w:rsidRPr="00DE3226">
        <w:rPr>
          <w:color w:val="000000"/>
          <w:shd w:val="clear" w:color="auto" w:fill="FFFFFF"/>
        </w:rPr>
        <w:t>T/RS 246: Religion, Bod</w:t>
      </w:r>
      <w:r w:rsidR="00C9781D">
        <w:rPr>
          <w:color w:val="000000"/>
          <w:shd w:val="clear" w:color="auto" w:fill="FFFFFF"/>
        </w:rPr>
        <w:t>ies</w:t>
      </w:r>
      <w:r w:rsidRPr="00DE3226">
        <w:rPr>
          <w:color w:val="000000"/>
          <w:shd w:val="clear" w:color="auto" w:fill="FFFFFF"/>
        </w:rPr>
        <w:t>, &amp; the Brain</w:t>
      </w:r>
    </w:p>
    <w:p w14:paraId="40994B6E" w14:textId="77777777" w:rsidR="005019BD" w:rsidRDefault="005019BD" w:rsidP="005019BD">
      <w:pPr>
        <w:rPr>
          <w:color w:val="000000"/>
          <w:shd w:val="clear" w:color="auto" w:fill="FFFFFF"/>
        </w:rPr>
      </w:pPr>
      <w:r>
        <w:rPr>
          <w:color w:val="000000"/>
          <w:shd w:val="clear" w:color="auto" w:fill="FFFFFF"/>
        </w:rPr>
        <w:t>T/RS 295: Christianity in Africa</w:t>
      </w:r>
    </w:p>
    <w:p w14:paraId="53EF8FEE" w14:textId="77777777" w:rsidR="005019BD" w:rsidRDefault="005019BD" w:rsidP="005019BD">
      <w:pPr>
        <w:rPr>
          <w:color w:val="000000"/>
          <w:shd w:val="clear" w:color="auto" w:fill="FFFFFF"/>
        </w:rPr>
      </w:pPr>
      <w:r>
        <w:rPr>
          <w:color w:val="000000"/>
          <w:shd w:val="clear" w:color="auto" w:fill="FFFFFF"/>
        </w:rPr>
        <w:t>T/RS 332: Theology &amp; Disability</w:t>
      </w:r>
    </w:p>
    <w:p w14:paraId="2871768D" w14:textId="77777777" w:rsidR="005019BD" w:rsidRPr="00DE3226" w:rsidRDefault="005019BD" w:rsidP="005019BD">
      <w:pPr>
        <w:rPr>
          <w:color w:val="000000"/>
          <w:shd w:val="clear" w:color="auto" w:fill="FFFFFF"/>
        </w:rPr>
      </w:pPr>
      <w:r>
        <w:rPr>
          <w:color w:val="000000"/>
          <w:shd w:val="clear" w:color="auto" w:fill="FFFFFF"/>
        </w:rPr>
        <w:t>T/RS 340: Theologies of Work &amp; Rest</w:t>
      </w:r>
    </w:p>
    <w:p w14:paraId="4B0CD0F8" w14:textId="2867477E" w:rsidR="00A25E9C" w:rsidRDefault="00A25E9C" w:rsidP="00F53F61">
      <w:pPr>
        <w:rPr>
          <w:b/>
        </w:rPr>
      </w:pPr>
    </w:p>
    <w:p w14:paraId="1D2E6E7D" w14:textId="5F43B470" w:rsidR="0084717D" w:rsidRDefault="0084717D" w:rsidP="00F53F61">
      <w:pPr>
        <w:rPr>
          <w:b/>
        </w:rPr>
      </w:pPr>
      <w:r>
        <w:rPr>
          <w:b/>
        </w:rPr>
        <w:t>Health Electives</w:t>
      </w:r>
      <w:r w:rsidR="00600E57">
        <w:rPr>
          <w:b/>
        </w:rPr>
        <w:t xml:space="preserve"> (6 credits)</w:t>
      </w:r>
    </w:p>
    <w:p w14:paraId="0956198C" w14:textId="77777777" w:rsidR="0084717D" w:rsidRDefault="0084717D" w:rsidP="00F53F61">
      <w:pPr>
        <w:rPr>
          <w:b/>
        </w:rPr>
      </w:pPr>
    </w:p>
    <w:p w14:paraId="5B0A3074" w14:textId="77777777" w:rsidR="005019BD" w:rsidRDefault="005019BD" w:rsidP="005019BD">
      <w:r>
        <w:t>BIOL 141: General Biology I</w:t>
      </w:r>
    </w:p>
    <w:p w14:paraId="30F1B2B9" w14:textId="77777777" w:rsidR="005019BD" w:rsidRPr="00DE3226" w:rsidRDefault="005019BD" w:rsidP="005019BD">
      <w:r>
        <w:t>BIOL 142: General Biology II</w:t>
      </w:r>
    </w:p>
    <w:p w14:paraId="43624237" w14:textId="77777777" w:rsidR="005019BD" w:rsidRDefault="005019BD" w:rsidP="005019BD">
      <w:r w:rsidRPr="00DE3226">
        <w:t>BIOL 204: Environmental Issues in Latin America</w:t>
      </w:r>
    </w:p>
    <w:p w14:paraId="2B931E1C" w14:textId="77777777" w:rsidR="005019BD" w:rsidRDefault="005019BD" w:rsidP="005019BD">
      <w:r>
        <w:t>BIOL 250: Microbiology</w:t>
      </w:r>
    </w:p>
    <w:p w14:paraId="45F6E1C0" w14:textId="77777777" w:rsidR="005019BD" w:rsidRDefault="005019BD" w:rsidP="005019BD">
      <w:r>
        <w:t>BIOL 344: Principles of Immunology</w:t>
      </w:r>
    </w:p>
    <w:p w14:paraId="64740F91" w14:textId="32B98396" w:rsidR="005019BD" w:rsidRPr="005019BD" w:rsidRDefault="005019BD" w:rsidP="00F53F61">
      <w:r>
        <w:t>BIOL 364: Virology</w:t>
      </w:r>
    </w:p>
    <w:p w14:paraId="5C1FF043" w14:textId="0DC2B1C6" w:rsidR="00A25E9C" w:rsidRPr="00DE3226" w:rsidRDefault="00D51FB2" w:rsidP="00A25E9C">
      <w:pPr>
        <w:pStyle w:val="Default"/>
        <w:rPr>
          <w:rFonts w:ascii="Times New Roman" w:hAnsi="Times New Roman" w:cs="Times New Roman"/>
          <w:sz w:val="24"/>
          <w:szCs w:val="24"/>
          <w:u w:color="000000"/>
          <w:lang w:val="en-US"/>
        </w:rPr>
      </w:pPr>
      <w:r>
        <w:rPr>
          <w:rFonts w:ascii="Times New Roman" w:hAnsi="Times New Roman" w:cs="Times New Roman"/>
          <w:sz w:val="24"/>
          <w:szCs w:val="24"/>
          <w:u w:color="000000"/>
          <w:lang w:val="en-US"/>
        </w:rPr>
        <w:lastRenderedPageBreak/>
        <w:t>HPRO</w:t>
      </w:r>
      <w:r w:rsidR="00A25E9C" w:rsidRPr="00DE3226">
        <w:rPr>
          <w:rFonts w:ascii="Times New Roman" w:hAnsi="Times New Roman" w:cs="Times New Roman"/>
          <w:sz w:val="24"/>
          <w:szCs w:val="24"/>
          <w:u w:color="000000"/>
          <w:lang w:val="en-US"/>
        </w:rPr>
        <w:t xml:space="preserve"> 230: Multicultural Health</w:t>
      </w:r>
    </w:p>
    <w:p w14:paraId="6313911C" w14:textId="15ED8FBF" w:rsidR="00A25E9C" w:rsidRDefault="00D51FB2" w:rsidP="00A25E9C">
      <w:pPr>
        <w:pStyle w:val="Default"/>
        <w:rPr>
          <w:rFonts w:ascii="Times New Roman" w:hAnsi="Times New Roman" w:cs="Times New Roman"/>
          <w:sz w:val="24"/>
          <w:szCs w:val="24"/>
          <w:u w:color="000000"/>
          <w:lang w:val="en-US"/>
        </w:rPr>
      </w:pPr>
      <w:r>
        <w:rPr>
          <w:rFonts w:ascii="Times New Roman" w:hAnsi="Times New Roman" w:cs="Times New Roman"/>
          <w:sz w:val="24"/>
          <w:szCs w:val="24"/>
          <w:u w:color="000000"/>
          <w:lang w:val="en-US"/>
        </w:rPr>
        <w:t>HPRO</w:t>
      </w:r>
      <w:r w:rsidR="00A25E9C" w:rsidRPr="00DE3226">
        <w:rPr>
          <w:rFonts w:ascii="Times New Roman" w:hAnsi="Times New Roman" w:cs="Times New Roman"/>
          <w:sz w:val="24"/>
          <w:szCs w:val="24"/>
          <w:u w:color="000000"/>
          <w:lang w:val="en-US"/>
        </w:rPr>
        <w:t xml:space="preserve"> 310: Health Behavior Theory</w:t>
      </w:r>
    </w:p>
    <w:p w14:paraId="4241175C" w14:textId="7E74D4C5" w:rsidR="00A25E9C" w:rsidRPr="00DE3226" w:rsidRDefault="00A25E9C" w:rsidP="00A25E9C">
      <w:pPr>
        <w:pStyle w:val="Default"/>
        <w:rPr>
          <w:rFonts w:ascii="Times New Roman" w:eastAsia="Times New Roman" w:hAnsi="Times New Roman" w:cs="Times New Roman"/>
          <w:sz w:val="24"/>
          <w:szCs w:val="24"/>
          <w:u w:color="000000"/>
          <w:lang w:val="en-US"/>
        </w:rPr>
      </w:pPr>
      <w:r w:rsidRPr="00DE3226">
        <w:rPr>
          <w:rFonts w:ascii="Times New Roman" w:hAnsi="Times New Roman" w:cs="Times New Roman"/>
          <w:sz w:val="24"/>
          <w:szCs w:val="24"/>
          <w:u w:color="000000"/>
          <w:lang w:val="en-US"/>
        </w:rPr>
        <w:t xml:space="preserve">CHS 333: Multiculturalism in Counseling and Human Services </w:t>
      </w:r>
    </w:p>
    <w:p w14:paraId="562A0740" w14:textId="77777777" w:rsidR="00A25E9C" w:rsidRPr="00DE3226" w:rsidRDefault="00A25E9C" w:rsidP="00A25E9C">
      <w:pPr>
        <w:pStyle w:val="Default"/>
        <w:rPr>
          <w:rFonts w:ascii="Times New Roman" w:hAnsi="Times New Roman" w:cs="Times New Roman"/>
          <w:sz w:val="24"/>
          <w:szCs w:val="24"/>
          <w:u w:color="000000"/>
          <w:lang w:val="en-US"/>
        </w:rPr>
      </w:pPr>
      <w:r w:rsidRPr="00DE3226">
        <w:rPr>
          <w:rFonts w:ascii="Times New Roman" w:hAnsi="Times New Roman" w:cs="Times New Roman"/>
          <w:sz w:val="24"/>
          <w:szCs w:val="24"/>
          <w:u w:color="000000"/>
          <w:lang w:val="en-US"/>
        </w:rPr>
        <w:t xml:space="preserve">CHS 338: Poverty, Homelessness, and Social Justice </w:t>
      </w:r>
    </w:p>
    <w:p w14:paraId="335D3B9C" w14:textId="77777777" w:rsidR="00A25E9C" w:rsidRPr="00DE3226" w:rsidRDefault="00A25E9C" w:rsidP="00A25E9C">
      <w:pPr>
        <w:pStyle w:val="Default"/>
        <w:rPr>
          <w:rFonts w:ascii="Times New Roman" w:eastAsia="Times New Roman" w:hAnsi="Times New Roman" w:cs="Times New Roman"/>
          <w:sz w:val="24"/>
          <w:szCs w:val="24"/>
          <w:u w:color="000000"/>
          <w:lang w:val="en-US"/>
        </w:rPr>
      </w:pPr>
      <w:r w:rsidRPr="00DE3226">
        <w:rPr>
          <w:rFonts w:ascii="Times New Roman" w:hAnsi="Times New Roman" w:cs="Times New Roman"/>
          <w:sz w:val="24"/>
          <w:szCs w:val="24"/>
          <w:u w:color="000000"/>
          <w:lang w:val="en-US"/>
        </w:rPr>
        <w:t xml:space="preserve">HADM 315: Cultural Diversity and Health Administration </w:t>
      </w:r>
    </w:p>
    <w:p w14:paraId="1AC4A970" w14:textId="77777777" w:rsidR="00A25E9C" w:rsidRPr="00DE3226" w:rsidRDefault="00A25E9C" w:rsidP="00A25E9C">
      <w:pPr>
        <w:pStyle w:val="Default"/>
        <w:rPr>
          <w:rFonts w:ascii="Times New Roman" w:eastAsia="Times New Roman" w:hAnsi="Times New Roman" w:cs="Times New Roman"/>
          <w:sz w:val="24"/>
          <w:szCs w:val="24"/>
          <w:u w:color="000000"/>
          <w:lang w:val="en-US"/>
        </w:rPr>
      </w:pPr>
      <w:r w:rsidRPr="00DE3226">
        <w:rPr>
          <w:rFonts w:ascii="Times New Roman" w:hAnsi="Times New Roman" w:cs="Times New Roman"/>
          <w:sz w:val="24"/>
          <w:szCs w:val="24"/>
          <w:u w:color="000000"/>
          <w:lang w:val="en-US"/>
        </w:rPr>
        <w:t>HADM 331: International Health Care</w:t>
      </w:r>
    </w:p>
    <w:p w14:paraId="05A4F865" w14:textId="1C2440CF" w:rsidR="00A25E9C" w:rsidRDefault="00A25E9C" w:rsidP="00A25E9C">
      <w:pPr>
        <w:pStyle w:val="Default"/>
        <w:rPr>
          <w:rFonts w:ascii="Times New Roman" w:hAnsi="Times New Roman" w:cs="Times New Roman"/>
          <w:sz w:val="24"/>
          <w:szCs w:val="24"/>
          <w:u w:color="000000"/>
          <w:lang w:val="en-US"/>
        </w:rPr>
      </w:pPr>
      <w:r w:rsidRPr="00DE3226">
        <w:rPr>
          <w:rFonts w:ascii="Times New Roman" w:hAnsi="Times New Roman" w:cs="Times New Roman"/>
          <w:sz w:val="24"/>
          <w:szCs w:val="24"/>
          <w:u w:color="000000"/>
          <w:lang w:val="en-US"/>
        </w:rPr>
        <w:t>HADM 395: Global Health Care Systems</w:t>
      </w:r>
    </w:p>
    <w:p w14:paraId="2B4F4722" w14:textId="63DFC2FF" w:rsidR="00A25E9C" w:rsidRPr="00DE3226" w:rsidRDefault="00A25E9C" w:rsidP="00A25E9C">
      <w:pPr>
        <w:rPr>
          <w:color w:val="1D1C1D"/>
          <w:shd w:val="clear" w:color="auto" w:fill="FFFFFF"/>
        </w:rPr>
      </w:pPr>
      <w:r w:rsidRPr="00DE3226">
        <w:rPr>
          <w:color w:val="1D1C1D"/>
          <w:shd w:val="clear" w:color="auto" w:fill="FFFFFF"/>
        </w:rPr>
        <w:t>INTD 211: HIV/AIDS: Biological, Social, and Cultural Issues</w:t>
      </w:r>
    </w:p>
    <w:p w14:paraId="591E164E" w14:textId="7225B2F5" w:rsidR="00A25E9C" w:rsidRPr="00DE3226" w:rsidRDefault="00A25E9C" w:rsidP="00A25E9C">
      <w:pPr>
        <w:pStyle w:val="Default"/>
        <w:rPr>
          <w:rFonts w:ascii="Times New Roman" w:hAnsi="Times New Roman" w:cs="Times New Roman"/>
          <w:sz w:val="24"/>
          <w:szCs w:val="24"/>
          <w:u w:color="000000"/>
          <w:lang w:val="en-US"/>
        </w:rPr>
      </w:pPr>
      <w:r w:rsidRPr="00DE3226">
        <w:rPr>
          <w:rFonts w:ascii="Times New Roman" w:hAnsi="Times New Roman" w:cs="Times New Roman"/>
          <w:sz w:val="24"/>
          <w:szCs w:val="24"/>
          <w:u w:color="000000"/>
          <w:lang w:val="en-US"/>
        </w:rPr>
        <w:t>PSYC 228: Health Psychology</w:t>
      </w:r>
    </w:p>
    <w:p w14:paraId="724A9369" w14:textId="77777777" w:rsidR="00A25E9C" w:rsidRPr="00DE3226" w:rsidRDefault="00A25E9C" w:rsidP="00A25E9C">
      <w:pPr>
        <w:rPr>
          <w:color w:val="000000"/>
          <w:shd w:val="clear" w:color="auto" w:fill="FFFFFF"/>
        </w:rPr>
      </w:pPr>
      <w:r w:rsidRPr="00DE3226">
        <w:rPr>
          <w:color w:val="000000"/>
          <w:shd w:val="clear" w:color="auto" w:fill="FFFFFF"/>
        </w:rPr>
        <w:t>PSYC237: </w:t>
      </w:r>
      <w:r w:rsidRPr="00DE3226">
        <w:rPr>
          <w:color w:val="000000"/>
          <w:bdr w:val="none" w:sz="0" w:space="0" w:color="auto" w:frame="1"/>
        </w:rPr>
        <w:t>Psychology</w:t>
      </w:r>
      <w:r w:rsidRPr="00DE3226">
        <w:rPr>
          <w:color w:val="000000"/>
          <w:shd w:val="clear" w:color="auto" w:fill="FFFFFF"/>
        </w:rPr>
        <w:t> of Women</w:t>
      </w:r>
    </w:p>
    <w:p w14:paraId="05DF6C8F" w14:textId="407D167B" w:rsidR="00A25E9C" w:rsidRPr="00DE3226" w:rsidRDefault="00A25E9C" w:rsidP="00A25E9C">
      <w:r w:rsidRPr="00DE3226">
        <w:t>NURS 2</w:t>
      </w:r>
      <w:r w:rsidR="00DE67F2">
        <w:t>33</w:t>
      </w:r>
      <w:r w:rsidRPr="00DE3226">
        <w:t xml:space="preserve">: Genetics for the Healthcare Professional </w:t>
      </w:r>
    </w:p>
    <w:p w14:paraId="67545122" w14:textId="77777777" w:rsidR="00A25E9C" w:rsidRPr="00DE3226" w:rsidRDefault="00A25E9C" w:rsidP="00A25E9C">
      <w:r w:rsidRPr="00DE3226">
        <w:t>NURS 405: Healthcare Writing for Publication</w:t>
      </w:r>
    </w:p>
    <w:p w14:paraId="28B9857B" w14:textId="77777777" w:rsidR="00A25E9C" w:rsidRPr="00C77298" w:rsidRDefault="00A25E9C" w:rsidP="00A25E9C">
      <w:pPr>
        <w:rPr>
          <w:color w:val="1D1C1D"/>
          <w:shd w:val="clear" w:color="auto" w:fill="FFFFFF"/>
        </w:rPr>
      </w:pPr>
      <w:r w:rsidRPr="00642182">
        <w:rPr>
          <w:color w:val="1D1C1D"/>
          <w:shd w:val="clear" w:color="auto" w:fill="FFFFFF"/>
        </w:rPr>
        <w:t>NURS 310: Understanding Transcultural Health</w:t>
      </w:r>
    </w:p>
    <w:p w14:paraId="67191991" w14:textId="48F6CD1B" w:rsidR="00ED2183" w:rsidRPr="005019BD" w:rsidRDefault="00A25E9C" w:rsidP="00ED2183">
      <w:pPr>
        <w:pStyle w:val="Default"/>
        <w:rPr>
          <w:rFonts w:ascii="Times New Roman" w:hAnsi="Times New Roman" w:cs="Times New Roman"/>
          <w:color w:val="1D1C1D"/>
          <w:shd w:val="clear" w:color="auto" w:fill="FFFFFF"/>
        </w:rPr>
      </w:pPr>
      <w:r w:rsidRPr="005019BD">
        <w:rPr>
          <w:rFonts w:ascii="Times New Roman" w:hAnsi="Times New Roman" w:cs="Times New Roman"/>
          <w:color w:val="1D1C1D"/>
          <w:shd w:val="clear" w:color="auto" w:fill="FFFFFF"/>
        </w:rPr>
        <w:t xml:space="preserve">NURS 314: </w:t>
      </w:r>
      <w:proofErr w:type="spellStart"/>
      <w:r w:rsidRPr="005019BD">
        <w:rPr>
          <w:rFonts w:ascii="Times New Roman" w:hAnsi="Times New Roman" w:cs="Times New Roman"/>
          <w:color w:val="1D1C1D"/>
          <w:shd w:val="clear" w:color="auto" w:fill="FFFFFF"/>
        </w:rPr>
        <w:t>Principles</w:t>
      </w:r>
      <w:proofErr w:type="spellEnd"/>
      <w:r w:rsidRPr="005019BD">
        <w:rPr>
          <w:rFonts w:ascii="Times New Roman" w:hAnsi="Times New Roman" w:cs="Times New Roman"/>
          <w:color w:val="1D1C1D"/>
          <w:shd w:val="clear" w:color="auto" w:fill="FFFFFF"/>
        </w:rPr>
        <w:t xml:space="preserve"> </w:t>
      </w:r>
      <w:proofErr w:type="spellStart"/>
      <w:r w:rsidRPr="005019BD">
        <w:rPr>
          <w:rFonts w:ascii="Times New Roman" w:hAnsi="Times New Roman" w:cs="Times New Roman"/>
          <w:color w:val="1D1C1D"/>
          <w:shd w:val="clear" w:color="auto" w:fill="FFFFFF"/>
        </w:rPr>
        <w:t>of</w:t>
      </w:r>
      <w:proofErr w:type="spellEnd"/>
      <w:r w:rsidRPr="005019BD">
        <w:rPr>
          <w:rFonts w:ascii="Times New Roman" w:hAnsi="Times New Roman" w:cs="Times New Roman"/>
          <w:color w:val="1D1C1D"/>
          <w:shd w:val="clear" w:color="auto" w:fill="FFFFFF"/>
        </w:rPr>
        <w:t xml:space="preserve"> </w:t>
      </w:r>
      <w:proofErr w:type="spellStart"/>
      <w:r w:rsidRPr="005019BD">
        <w:rPr>
          <w:rFonts w:ascii="Times New Roman" w:hAnsi="Times New Roman" w:cs="Times New Roman"/>
          <w:color w:val="1D1C1D"/>
          <w:shd w:val="clear" w:color="auto" w:fill="FFFFFF"/>
        </w:rPr>
        <w:t>Nursing</w:t>
      </w:r>
      <w:proofErr w:type="spellEnd"/>
      <w:r w:rsidRPr="005019BD">
        <w:rPr>
          <w:rFonts w:ascii="Times New Roman" w:hAnsi="Times New Roman" w:cs="Times New Roman"/>
          <w:color w:val="1D1C1D"/>
          <w:shd w:val="clear" w:color="auto" w:fill="FFFFFF"/>
        </w:rPr>
        <w:t xml:space="preserve"> </w:t>
      </w:r>
      <w:proofErr w:type="spellStart"/>
      <w:r w:rsidRPr="005019BD">
        <w:rPr>
          <w:rFonts w:ascii="Times New Roman" w:hAnsi="Times New Roman" w:cs="Times New Roman"/>
          <w:color w:val="1D1C1D"/>
          <w:shd w:val="clear" w:color="auto" w:fill="FFFFFF"/>
        </w:rPr>
        <w:t>Ethics</w:t>
      </w:r>
      <w:proofErr w:type="spellEnd"/>
    </w:p>
    <w:p w14:paraId="3D7DC1E7" w14:textId="53CD87B2" w:rsidR="00F960C8" w:rsidRDefault="00F960C8" w:rsidP="005019BD">
      <w:pPr>
        <w:pStyle w:val="Default"/>
        <w:rPr>
          <w:shd w:val="clear" w:color="auto" w:fill="FFFFFF"/>
        </w:rPr>
      </w:pPr>
    </w:p>
    <w:tbl>
      <w:tblPr>
        <w:tblW w:w="10040" w:type="dxa"/>
        <w:tblLook w:val="04A0" w:firstRow="1" w:lastRow="0" w:firstColumn="1" w:lastColumn="0" w:noHBand="0" w:noVBand="1"/>
      </w:tblPr>
      <w:tblGrid>
        <w:gridCol w:w="2118"/>
        <w:gridCol w:w="5889"/>
        <w:gridCol w:w="996"/>
        <w:gridCol w:w="1037"/>
      </w:tblGrid>
      <w:tr w:rsidR="001A7AE1" w14:paraId="0A989C89" w14:textId="77777777" w:rsidTr="001A7AE1">
        <w:trPr>
          <w:trHeight w:val="360"/>
        </w:trPr>
        <w:tc>
          <w:tcPr>
            <w:tcW w:w="10040" w:type="dxa"/>
            <w:gridSpan w:val="4"/>
            <w:tcBorders>
              <w:top w:val="nil"/>
              <w:left w:val="nil"/>
              <w:bottom w:val="single" w:sz="4" w:space="0" w:color="auto"/>
              <w:right w:val="nil"/>
            </w:tcBorders>
            <w:shd w:val="clear" w:color="auto" w:fill="auto"/>
            <w:noWrap/>
            <w:vAlign w:val="bottom"/>
            <w:hideMark/>
          </w:tcPr>
          <w:p w14:paraId="71FC928C" w14:textId="3852695C" w:rsidR="001A7AE1" w:rsidRDefault="001A7AE1" w:rsidP="006963E3">
            <w:pPr>
              <w:rPr>
                <w:color w:val="000000"/>
              </w:rPr>
            </w:pPr>
            <w:r w:rsidRPr="006F3D15">
              <w:rPr>
                <w:color w:val="000000"/>
              </w:rPr>
              <w:t>Here we provide</w:t>
            </w:r>
            <w:r w:rsidR="006F3D15" w:rsidRPr="006F3D15">
              <w:rPr>
                <w:color w:val="000000"/>
              </w:rPr>
              <w:t xml:space="preserve"> just one</w:t>
            </w:r>
            <w:r w:rsidR="00487FC9">
              <w:rPr>
                <w:color w:val="000000"/>
              </w:rPr>
              <w:t xml:space="preserve"> </w:t>
            </w:r>
            <w:r w:rsidRPr="006F3D15">
              <w:rPr>
                <w:color w:val="000000"/>
              </w:rPr>
              <w:t>example of how one hypothetical student could navigate the curriculum, while completing the HH Concentration</w:t>
            </w:r>
            <w:r w:rsidR="006F3D15">
              <w:rPr>
                <w:color w:val="000000"/>
              </w:rPr>
              <w:t>:</w:t>
            </w:r>
          </w:p>
          <w:p w14:paraId="14A5A82B" w14:textId="77777777" w:rsidR="006F3D15" w:rsidRPr="006963E3" w:rsidRDefault="006F3D15" w:rsidP="006963E3">
            <w:pPr>
              <w:rPr>
                <w:color w:val="000000"/>
              </w:rPr>
            </w:pPr>
          </w:p>
          <w:p w14:paraId="697A0ED9" w14:textId="40BEC79C" w:rsidR="001A7AE1" w:rsidRDefault="001A7AE1">
            <w:pPr>
              <w:jc w:val="center"/>
              <w:rPr>
                <w:b/>
                <w:bCs/>
                <w:color w:val="000000"/>
                <w:sz w:val="28"/>
                <w:szCs w:val="28"/>
              </w:rPr>
            </w:pPr>
            <w:r>
              <w:rPr>
                <w:b/>
                <w:bCs/>
                <w:color w:val="000000"/>
                <w:sz w:val="28"/>
                <w:szCs w:val="28"/>
              </w:rPr>
              <w:t>Biology Pre-Med, Spanish Minor, HH Concentration</w:t>
            </w:r>
          </w:p>
        </w:tc>
      </w:tr>
      <w:tr w:rsidR="001A7AE1" w14:paraId="0F995278" w14:textId="77777777" w:rsidTr="001A7AE1">
        <w:trPr>
          <w:trHeight w:val="340"/>
        </w:trPr>
        <w:tc>
          <w:tcPr>
            <w:tcW w:w="2118" w:type="dxa"/>
            <w:tcBorders>
              <w:top w:val="nil"/>
              <w:left w:val="single" w:sz="4" w:space="0" w:color="auto"/>
              <w:bottom w:val="nil"/>
              <w:right w:val="nil"/>
            </w:tcBorders>
            <w:shd w:val="clear" w:color="auto" w:fill="auto"/>
            <w:noWrap/>
            <w:vAlign w:val="bottom"/>
            <w:hideMark/>
          </w:tcPr>
          <w:p w14:paraId="1BB9F75B" w14:textId="77777777" w:rsidR="001A7AE1" w:rsidRDefault="001A7AE1">
            <w:pPr>
              <w:rPr>
                <w:color w:val="000000"/>
              </w:rPr>
            </w:pPr>
            <w:r>
              <w:rPr>
                <w:color w:val="000000"/>
              </w:rPr>
              <w:t> </w:t>
            </w:r>
          </w:p>
        </w:tc>
        <w:tc>
          <w:tcPr>
            <w:tcW w:w="5889" w:type="dxa"/>
            <w:tcBorders>
              <w:top w:val="nil"/>
              <w:left w:val="nil"/>
              <w:bottom w:val="nil"/>
              <w:right w:val="nil"/>
            </w:tcBorders>
            <w:shd w:val="clear" w:color="auto" w:fill="auto"/>
            <w:noWrap/>
            <w:vAlign w:val="bottom"/>
            <w:hideMark/>
          </w:tcPr>
          <w:p w14:paraId="485331C1" w14:textId="77777777" w:rsidR="001A7AE1" w:rsidRDefault="001A7AE1">
            <w:pPr>
              <w:rPr>
                <w:b/>
                <w:bCs/>
                <w:i/>
                <w:iCs/>
                <w:color w:val="000000"/>
              </w:rPr>
            </w:pPr>
            <w:r>
              <w:rPr>
                <w:b/>
                <w:bCs/>
                <w:i/>
                <w:iCs/>
                <w:color w:val="000000"/>
              </w:rPr>
              <w:t>Dept &amp; # - Descriptive Title of Course</w:t>
            </w:r>
          </w:p>
        </w:tc>
        <w:tc>
          <w:tcPr>
            <w:tcW w:w="996" w:type="dxa"/>
            <w:tcBorders>
              <w:top w:val="nil"/>
              <w:left w:val="nil"/>
              <w:bottom w:val="nil"/>
              <w:right w:val="nil"/>
            </w:tcBorders>
            <w:shd w:val="clear" w:color="auto" w:fill="auto"/>
            <w:noWrap/>
            <w:vAlign w:val="bottom"/>
            <w:hideMark/>
          </w:tcPr>
          <w:p w14:paraId="3AA88ED5" w14:textId="77777777" w:rsidR="001A7AE1" w:rsidRDefault="001A7AE1">
            <w:pPr>
              <w:rPr>
                <w:b/>
                <w:bCs/>
                <w:color w:val="000000"/>
              </w:rPr>
            </w:pPr>
            <w:r>
              <w:rPr>
                <w:b/>
                <w:bCs/>
                <w:color w:val="000000"/>
              </w:rPr>
              <w:t>Fall Cr.</w:t>
            </w:r>
          </w:p>
        </w:tc>
        <w:tc>
          <w:tcPr>
            <w:tcW w:w="1037" w:type="dxa"/>
            <w:tcBorders>
              <w:top w:val="nil"/>
              <w:left w:val="nil"/>
              <w:bottom w:val="nil"/>
              <w:right w:val="single" w:sz="4" w:space="0" w:color="auto"/>
            </w:tcBorders>
            <w:shd w:val="clear" w:color="auto" w:fill="auto"/>
            <w:noWrap/>
            <w:vAlign w:val="bottom"/>
            <w:hideMark/>
          </w:tcPr>
          <w:p w14:paraId="6F7C536C" w14:textId="77777777" w:rsidR="001A7AE1" w:rsidRDefault="001A7AE1">
            <w:pPr>
              <w:rPr>
                <w:b/>
                <w:bCs/>
                <w:color w:val="000000"/>
              </w:rPr>
            </w:pPr>
            <w:r>
              <w:rPr>
                <w:b/>
                <w:bCs/>
                <w:color w:val="000000"/>
              </w:rPr>
              <w:t>Spr. Cr.</w:t>
            </w:r>
          </w:p>
        </w:tc>
      </w:tr>
      <w:tr w:rsidR="001A7AE1" w14:paraId="3B96F9FC" w14:textId="77777777" w:rsidTr="001A7AE1">
        <w:trPr>
          <w:trHeight w:val="420"/>
        </w:trPr>
        <w:tc>
          <w:tcPr>
            <w:tcW w:w="8007" w:type="dxa"/>
            <w:gridSpan w:val="2"/>
            <w:tcBorders>
              <w:top w:val="single" w:sz="8" w:space="0" w:color="auto"/>
              <w:left w:val="single" w:sz="8" w:space="0" w:color="auto"/>
              <w:bottom w:val="single" w:sz="8" w:space="0" w:color="auto"/>
              <w:right w:val="nil"/>
            </w:tcBorders>
            <w:shd w:val="clear" w:color="auto" w:fill="auto"/>
            <w:noWrap/>
            <w:vAlign w:val="bottom"/>
            <w:hideMark/>
          </w:tcPr>
          <w:p w14:paraId="07FD7F5E" w14:textId="77777777" w:rsidR="001A7AE1" w:rsidRDefault="001A7AE1">
            <w:pPr>
              <w:rPr>
                <w:b/>
                <w:bCs/>
                <w:color w:val="000000"/>
                <w:sz w:val="32"/>
                <w:szCs w:val="32"/>
              </w:rPr>
            </w:pPr>
            <w:r>
              <w:rPr>
                <w:b/>
                <w:bCs/>
                <w:color w:val="000000"/>
                <w:sz w:val="32"/>
                <w:szCs w:val="32"/>
              </w:rPr>
              <w:t>First Year</w:t>
            </w:r>
          </w:p>
        </w:tc>
        <w:tc>
          <w:tcPr>
            <w:tcW w:w="996" w:type="dxa"/>
            <w:tcBorders>
              <w:top w:val="single" w:sz="8" w:space="0" w:color="auto"/>
              <w:left w:val="nil"/>
              <w:bottom w:val="single" w:sz="8" w:space="0" w:color="auto"/>
              <w:right w:val="nil"/>
            </w:tcBorders>
            <w:shd w:val="clear" w:color="auto" w:fill="auto"/>
            <w:noWrap/>
            <w:vAlign w:val="bottom"/>
            <w:hideMark/>
          </w:tcPr>
          <w:p w14:paraId="230BEE5A" w14:textId="77777777" w:rsidR="001A7AE1" w:rsidRDefault="001A7AE1">
            <w:pPr>
              <w:rPr>
                <w:color w:val="000000"/>
              </w:rPr>
            </w:pPr>
            <w:r>
              <w:rPr>
                <w:color w:val="000000"/>
              </w:rPr>
              <w:t> </w:t>
            </w:r>
          </w:p>
        </w:tc>
        <w:tc>
          <w:tcPr>
            <w:tcW w:w="1037" w:type="dxa"/>
            <w:tcBorders>
              <w:top w:val="single" w:sz="8" w:space="0" w:color="auto"/>
              <w:left w:val="nil"/>
              <w:bottom w:val="single" w:sz="8" w:space="0" w:color="auto"/>
              <w:right w:val="single" w:sz="8" w:space="0" w:color="auto"/>
            </w:tcBorders>
            <w:shd w:val="clear" w:color="auto" w:fill="auto"/>
            <w:noWrap/>
            <w:vAlign w:val="bottom"/>
            <w:hideMark/>
          </w:tcPr>
          <w:p w14:paraId="1BC3A4D3" w14:textId="77777777" w:rsidR="001A7AE1" w:rsidRDefault="001A7AE1">
            <w:pPr>
              <w:rPr>
                <w:color w:val="000000"/>
              </w:rPr>
            </w:pPr>
            <w:r>
              <w:rPr>
                <w:color w:val="000000"/>
              </w:rPr>
              <w:t> </w:t>
            </w:r>
          </w:p>
        </w:tc>
      </w:tr>
      <w:tr w:rsidR="001A7AE1" w14:paraId="16587FC4" w14:textId="77777777" w:rsidTr="001A7AE1">
        <w:trPr>
          <w:trHeight w:val="1360"/>
        </w:trPr>
        <w:tc>
          <w:tcPr>
            <w:tcW w:w="2118" w:type="dxa"/>
            <w:tcBorders>
              <w:top w:val="nil"/>
              <w:left w:val="single" w:sz="8" w:space="0" w:color="auto"/>
              <w:bottom w:val="nil"/>
              <w:right w:val="nil"/>
            </w:tcBorders>
            <w:shd w:val="clear" w:color="auto" w:fill="auto"/>
            <w:noWrap/>
            <w:vAlign w:val="center"/>
            <w:hideMark/>
          </w:tcPr>
          <w:p w14:paraId="2A010F64" w14:textId="77777777" w:rsidR="001A7AE1" w:rsidRDefault="001A7AE1">
            <w:pPr>
              <w:rPr>
                <w:color w:val="000000"/>
              </w:rPr>
            </w:pPr>
            <w:r>
              <w:rPr>
                <w:color w:val="000000"/>
              </w:rPr>
              <w:t>Major (GE NSCI)</w:t>
            </w:r>
          </w:p>
        </w:tc>
        <w:tc>
          <w:tcPr>
            <w:tcW w:w="5889" w:type="dxa"/>
            <w:tcBorders>
              <w:top w:val="nil"/>
              <w:left w:val="nil"/>
              <w:bottom w:val="nil"/>
              <w:right w:val="nil"/>
            </w:tcBorders>
            <w:shd w:val="clear" w:color="auto" w:fill="auto"/>
            <w:vAlign w:val="bottom"/>
            <w:hideMark/>
          </w:tcPr>
          <w:p w14:paraId="05B836D0" w14:textId="77777777" w:rsidR="001A7AE1" w:rsidRDefault="001A7AE1">
            <w:pPr>
              <w:rPr>
                <w:color w:val="000000"/>
              </w:rPr>
            </w:pPr>
            <w:r>
              <w:rPr>
                <w:color w:val="000000"/>
              </w:rPr>
              <w:t>BIOL 141 - (E) (FYOC, FYDT Lab only) General Biology with Lab1BIOL 142 - (E) (FYOC, FYDT Lab only) General Biology with Lab1</w:t>
            </w:r>
          </w:p>
        </w:tc>
        <w:tc>
          <w:tcPr>
            <w:tcW w:w="996" w:type="dxa"/>
            <w:tcBorders>
              <w:top w:val="nil"/>
              <w:left w:val="nil"/>
              <w:bottom w:val="nil"/>
              <w:right w:val="nil"/>
            </w:tcBorders>
            <w:shd w:val="clear" w:color="auto" w:fill="auto"/>
            <w:noWrap/>
            <w:vAlign w:val="center"/>
            <w:hideMark/>
          </w:tcPr>
          <w:p w14:paraId="071B87FB" w14:textId="77777777" w:rsidR="001A7AE1" w:rsidRDefault="001A7AE1">
            <w:pPr>
              <w:jc w:val="center"/>
              <w:rPr>
                <w:color w:val="000000"/>
              </w:rPr>
            </w:pPr>
            <w:r>
              <w:rPr>
                <w:color w:val="000000"/>
              </w:rPr>
              <w:t>4.5</w:t>
            </w:r>
          </w:p>
        </w:tc>
        <w:tc>
          <w:tcPr>
            <w:tcW w:w="1037" w:type="dxa"/>
            <w:tcBorders>
              <w:top w:val="nil"/>
              <w:left w:val="nil"/>
              <w:bottom w:val="nil"/>
              <w:right w:val="single" w:sz="8" w:space="0" w:color="auto"/>
            </w:tcBorders>
            <w:shd w:val="clear" w:color="auto" w:fill="auto"/>
            <w:noWrap/>
            <w:vAlign w:val="center"/>
            <w:hideMark/>
          </w:tcPr>
          <w:p w14:paraId="463C676C" w14:textId="77777777" w:rsidR="001A7AE1" w:rsidRDefault="001A7AE1">
            <w:pPr>
              <w:jc w:val="center"/>
              <w:rPr>
                <w:color w:val="000000"/>
              </w:rPr>
            </w:pPr>
            <w:r>
              <w:rPr>
                <w:color w:val="000000"/>
              </w:rPr>
              <w:t>4.5</w:t>
            </w:r>
          </w:p>
        </w:tc>
      </w:tr>
      <w:tr w:rsidR="001A7AE1" w14:paraId="58B82413" w14:textId="77777777" w:rsidTr="001A7AE1">
        <w:trPr>
          <w:trHeight w:val="680"/>
        </w:trPr>
        <w:tc>
          <w:tcPr>
            <w:tcW w:w="2118" w:type="dxa"/>
            <w:tcBorders>
              <w:top w:val="nil"/>
              <w:left w:val="single" w:sz="8" w:space="0" w:color="auto"/>
              <w:bottom w:val="nil"/>
              <w:right w:val="nil"/>
            </w:tcBorders>
            <w:shd w:val="clear" w:color="auto" w:fill="auto"/>
            <w:noWrap/>
            <w:vAlign w:val="center"/>
            <w:hideMark/>
          </w:tcPr>
          <w:p w14:paraId="5C2A3A66" w14:textId="77777777" w:rsidR="001A7AE1" w:rsidRDefault="001A7AE1">
            <w:pPr>
              <w:rPr>
                <w:color w:val="000000"/>
              </w:rPr>
            </w:pPr>
            <w:r>
              <w:rPr>
                <w:color w:val="000000"/>
              </w:rPr>
              <w:t>Cognate</w:t>
            </w:r>
          </w:p>
        </w:tc>
        <w:tc>
          <w:tcPr>
            <w:tcW w:w="5889" w:type="dxa"/>
            <w:tcBorders>
              <w:top w:val="nil"/>
              <w:left w:val="nil"/>
              <w:bottom w:val="nil"/>
              <w:right w:val="nil"/>
            </w:tcBorders>
            <w:shd w:val="clear" w:color="auto" w:fill="auto"/>
            <w:vAlign w:val="bottom"/>
            <w:hideMark/>
          </w:tcPr>
          <w:p w14:paraId="5B0F3DBC" w14:textId="77777777" w:rsidR="001A7AE1" w:rsidRDefault="001A7AE1">
            <w:pPr>
              <w:rPr>
                <w:color w:val="000000"/>
              </w:rPr>
            </w:pPr>
            <w:r>
              <w:rPr>
                <w:color w:val="000000"/>
              </w:rPr>
              <w:t>CHEM 112-113 - (E) General and Analytical Chemistry/CHEM 112L-113L </w:t>
            </w:r>
          </w:p>
        </w:tc>
        <w:tc>
          <w:tcPr>
            <w:tcW w:w="996" w:type="dxa"/>
            <w:tcBorders>
              <w:top w:val="nil"/>
              <w:left w:val="nil"/>
              <w:bottom w:val="nil"/>
              <w:right w:val="nil"/>
            </w:tcBorders>
            <w:shd w:val="clear" w:color="auto" w:fill="auto"/>
            <w:noWrap/>
            <w:vAlign w:val="center"/>
            <w:hideMark/>
          </w:tcPr>
          <w:p w14:paraId="72C0379A" w14:textId="77777777" w:rsidR="001A7AE1" w:rsidRDefault="001A7AE1">
            <w:pPr>
              <w:jc w:val="center"/>
              <w:rPr>
                <w:color w:val="000000"/>
              </w:rPr>
            </w:pPr>
            <w:r>
              <w:rPr>
                <w:color w:val="000000"/>
              </w:rPr>
              <w:t>4.5</w:t>
            </w:r>
          </w:p>
        </w:tc>
        <w:tc>
          <w:tcPr>
            <w:tcW w:w="1037" w:type="dxa"/>
            <w:tcBorders>
              <w:top w:val="nil"/>
              <w:left w:val="nil"/>
              <w:bottom w:val="nil"/>
              <w:right w:val="single" w:sz="8" w:space="0" w:color="auto"/>
            </w:tcBorders>
            <w:shd w:val="clear" w:color="auto" w:fill="auto"/>
            <w:noWrap/>
            <w:vAlign w:val="center"/>
            <w:hideMark/>
          </w:tcPr>
          <w:p w14:paraId="5321F4C6" w14:textId="77777777" w:rsidR="001A7AE1" w:rsidRDefault="001A7AE1">
            <w:pPr>
              <w:jc w:val="center"/>
              <w:rPr>
                <w:color w:val="000000"/>
              </w:rPr>
            </w:pPr>
            <w:r>
              <w:rPr>
                <w:color w:val="000000"/>
              </w:rPr>
              <w:t>4.5</w:t>
            </w:r>
          </w:p>
        </w:tc>
      </w:tr>
      <w:tr w:rsidR="001A7AE1" w14:paraId="29116F7F" w14:textId="77777777" w:rsidTr="001A7AE1">
        <w:trPr>
          <w:trHeight w:val="320"/>
        </w:trPr>
        <w:tc>
          <w:tcPr>
            <w:tcW w:w="2118" w:type="dxa"/>
            <w:tcBorders>
              <w:top w:val="nil"/>
              <w:left w:val="single" w:sz="8" w:space="0" w:color="auto"/>
              <w:bottom w:val="nil"/>
              <w:right w:val="nil"/>
            </w:tcBorders>
            <w:shd w:val="clear" w:color="auto" w:fill="auto"/>
            <w:noWrap/>
            <w:vAlign w:val="bottom"/>
            <w:hideMark/>
          </w:tcPr>
          <w:p w14:paraId="2B4CC612" w14:textId="77777777" w:rsidR="001A7AE1" w:rsidRDefault="001A7AE1">
            <w:pPr>
              <w:rPr>
                <w:color w:val="000000"/>
              </w:rPr>
            </w:pPr>
            <w:r>
              <w:rPr>
                <w:color w:val="000000"/>
              </w:rPr>
              <w:t>GE WRTG</w:t>
            </w:r>
          </w:p>
        </w:tc>
        <w:tc>
          <w:tcPr>
            <w:tcW w:w="5889" w:type="dxa"/>
            <w:tcBorders>
              <w:top w:val="nil"/>
              <w:left w:val="nil"/>
              <w:bottom w:val="nil"/>
              <w:right w:val="nil"/>
            </w:tcBorders>
            <w:shd w:val="clear" w:color="auto" w:fill="auto"/>
            <w:noWrap/>
            <w:vAlign w:val="bottom"/>
            <w:hideMark/>
          </w:tcPr>
          <w:p w14:paraId="3B5759DC" w14:textId="77777777" w:rsidR="001A7AE1" w:rsidRDefault="001A7AE1">
            <w:pPr>
              <w:rPr>
                <w:color w:val="000000"/>
              </w:rPr>
            </w:pPr>
            <w:r>
              <w:rPr>
                <w:color w:val="000000"/>
              </w:rPr>
              <w:t>WRTG 107 - (FYW) Composition</w:t>
            </w:r>
          </w:p>
        </w:tc>
        <w:tc>
          <w:tcPr>
            <w:tcW w:w="996" w:type="dxa"/>
            <w:tcBorders>
              <w:top w:val="nil"/>
              <w:left w:val="nil"/>
              <w:bottom w:val="nil"/>
              <w:right w:val="nil"/>
            </w:tcBorders>
            <w:shd w:val="clear" w:color="auto" w:fill="auto"/>
            <w:noWrap/>
            <w:vAlign w:val="center"/>
            <w:hideMark/>
          </w:tcPr>
          <w:p w14:paraId="211F250A" w14:textId="77777777" w:rsidR="001A7AE1" w:rsidRDefault="001A7AE1">
            <w:pPr>
              <w:rPr>
                <w:color w:val="000000"/>
              </w:rPr>
            </w:pPr>
          </w:p>
        </w:tc>
        <w:tc>
          <w:tcPr>
            <w:tcW w:w="1037" w:type="dxa"/>
            <w:tcBorders>
              <w:top w:val="nil"/>
              <w:left w:val="nil"/>
              <w:bottom w:val="nil"/>
              <w:right w:val="single" w:sz="8" w:space="0" w:color="auto"/>
            </w:tcBorders>
            <w:shd w:val="clear" w:color="auto" w:fill="auto"/>
            <w:noWrap/>
            <w:vAlign w:val="center"/>
            <w:hideMark/>
          </w:tcPr>
          <w:p w14:paraId="42DCBB7D" w14:textId="77777777" w:rsidR="001A7AE1" w:rsidRDefault="001A7AE1">
            <w:pPr>
              <w:jc w:val="center"/>
              <w:rPr>
                <w:color w:val="000000"/>
              </w:rPr>
            </w:pPr>
            <w:r>
              <w:rPr>
                <w:color w:val="000000"/>
              </w:rPr>
              <w:t>3</w:t>
            </w:r>
          </w:p>
        </w:tc>
      </w:tr>
      <w:tr w:rsidR="001A7AE1" w14:paraId="0C8BFF2D" w14:textId="77777777" w:rsidTr="001A7AE1">
        <w:trPr>
          <w:trHeight w:val="320"/>
        </w:trPr>
        <w:tc>
          <w:tcPr>
            <w:tcW w:w="2118" w:type="dxa"/>
            <w:tcBorders>
              <w:top w:val="nil"/>
              <w:left w:val="single" w:sz="8" w:space="0" w:color="auto"/>
              <w:bottom w:val="nil"/>
              <w:right w:val="nil"/>
            </w:tcBorders>
            <w:shd w:val="clear" w:color="auto" w:fill="auto"/>
            <w:noWrap/>
            <w:vAlign w:val="bottom"/>
            <w:hideMark/>
          </w:tcPr>
          <w:p w14:paraId="1CEF20BF" w14:textId="77777777" w:rsidR="001A7AE1" w:rsidRDefault="001A7AE1">
            <w:pPr>
              <w:rPr>
                <w:color w:val="000000"/>
              </w:rPr>
            </w:pPr>
            <w:r>
              <w:rPr>
                <w:color w:val="000000"/>
              </w:rPr>
              <w:t>GE ELECT</w:t>
            </w:r>
          </w:p>
        </w:tc>
        <w:tc>
          <w:tcPr>
            <w:tcW w:w="5889" w:type="dxa"/>
            <w:tcBorders>
              <w:top w:val="nil"/>
              <w:left w:val="nil"/>
              <w:bottom w:val="nil"/>
              <w:right w:val="nil"/>
            </w:tcBorders>
            <w:shd w:val="clear" w:color="auto" w:fill="auto"/>
            <w:noWrap/>
            <w:vAlign w:val="bottom"/>
            <w:hideMark/>
          </w:tcPr>
          <w:p w14:paraId="1CC80F6A" w14:textId="353942FA" w:rsidR="001A7AE1" w:rsidRDefault="001A7AE1">
            <w:pPr>
              <w:rPr>
                <w:color w:val="000000"/>
              </w:rPr>
            </w:pPr>
            <w:r>
              <w:rPr>
                <w:color w:val="000000"/>
              </w:rPr>
              <w:t xml:space="preserve">SPAN </w:t>
            </w:r>
            <w:r w:rsidR="00B7701A">
              <w:rPr>
                <w:color w:val="000000"/>
              </w:rPr>
              <w:t>3</w:t>
            </w:r>
            <w:r>
              <w:rPr>
                <w:color w:val="000000"/>
              </w:rPr>
              <w:t xml:space="preserve">11 </w:t>
            </w:r>
            <w:r w:rsidR="007E200B">
              <w:rPr>
                <w:color w:val="000000"/>
              </w:rPr>
              <w:t>–</w:t>
            </w:r>
            <w:r>
              <w:rPr>
                <w:color w:val="000000"/>
              </w:rPr>
              <w:t xml:space="preserve"> </w:t>
            </w:r>
            <w:r w:rsidR="007E200B">
              <w:rPr>
                <w:color w:val="000000"/>
              </w:rPr>
              <w:t xml:space="preserve">SPAN </w:t>
            </w:r>
            <w:r w:rsidR="00B7701A">
              <w:rPr>
                <w:color w:val="000000"/>
              </w:rPr>
              <w:t>3</w:t>
            </w:r>
            <w:r>
              <w:rPr>
                <w:color w:val="000000"/>
              </w:rPr>
              <w:t>12</w:t>
            </w:r>
          </w:p>
        </w:tc>
        <w:tc>
          <w:tcPr>
            <w:tcW w:w="996" w:type="dxa"/>
            <w:tcBorders>
              <w:top w:val="nil"/>
              <w:left w:val="nil"/>
              <w:bottom w:val="nil"/>
              <w:right w:val="nil"/>
            </w:tcBorders>
            <w:shd w:val="clear" w:color="auto" w:fill="auto"/>
            <w:noWrap/>
            <w:vAlign w:val="center"/>
            <w:hideMark/>
          </w:tcPr>
          <w:p w14:paraId="420408AF" w14:textId="77777777" w:rsidR="001A7AE1" w:rsidRDefault="001A7AE1">
            <w:pPr>
              <w:jc w:val="center"/>
              <w:rPr>
                <w:color w:val="000000"/>
              </w:rPr>
            </w:pPr>
            <w:r>
              <w:rPr>
                <w:color w:val="000000"/>
              </w:rPr>
              <w:t>3</w:t>
            </w:r>
          </w:p>
        </w:tc>
        <w:tc>
          <w:tcPr>
            <w:tcW w:w="1037" w:type="dxa"/>
            <w:tcBorders>
              <w:top w:val="nil"/>
              <w:left w:val="nil"/>
              <w:bottom w:val="nil"/>
              <w:right w:val="single" w:sz="8" w:space="0" w:color="auto"/>
            </w:tcBorders>
            <w:shd w:val="clear" w:color="auto" w:fill="auto"/>
            <w:noWrap/>
            <w:vAlign w:val="center"/>
            <w:hideMark/>
          </w:tcPr>
          <w:p w14:paraId="2FCDFDBD" w14:textId="77777777" w:rsidR="001A7AE1" w:rsidRDefault="001A7AE1">
            <w:pPr>
              <w:jc w:val="center"/>
              <w:rPr>
                <w:color w:val="000000"/>
              </w:rPr>
            </w:pPr>
            <w:r>
              <w:rPr>
                <w:color w:val="000000"/>
              </w:rPr>
              <w:t>3</w:t>
            </w:r>
          </w:p>
        </w:tc>
      </w:tr>
      <w:tr w:rsidR="001A7AE1" w14:paraId="1F126447" w14:textId="77777777" w:rsidTr="001A7AE1">
        <w:trPr>
          <w:trHeight w:val="320"/>
        </w:trPr>
        <w:tc>
          <w:tcPr>
            <w:tcW w:w="2118" w:type="dxa"/>
            <w:tcBorders>
              <w:top w:val="nil"/>
              <w:left w:val="single" w:sz="8" w:space="0" w:color="auto"/>
              <w:bottom w:val="nil"/>
              <w:right w:val="nil"/>
            </w:tcBorders>
            <w:shd w:val="clear" w:color="auto" w:fill="auto"/>
            <w:noWrap/>
            <w:vAlign w:val="bottom"/>
            <w:hideMark/>
          </w:tcPr>
          <w:p w14:paraId="71C907B5" w14:textId="77777777" w:rsidR="001A7AE1" w:rsidRDefault="001A7AE1">
            <w:pPr>
              <w:rPr>
                <w:color w:val="000000"/>
              </w:rPr>
            </w:pPr>
            <w:r>
              <w:rPr>
                <w:color w:val="000000"/>
              </w:rPr>
              <w:t>GE FSEM</w:t>
            </w:r>
          </w:p>
        </w:tc>
        <w:tc>
          <w:tcPr>
            <w:tcW w:w="5889" w:type="dxa"/>
            <w:tcBorders>
              <w:top w:val="nil"/>
              <w:left w:val="nil"/>
              <w:bottom w:val="nil"/>
              <w:right w:val="nil"/>
            </w:tcBorders>
            <w:shd w:val="clear" w:color="auto" w:fill="auto"/>
            <w:noWrap/>
            <w:vAlign w:val="bottom"/>
            <w:hideMark/>
          </w:tcPr>
          <w:p w14:paraId="4839AAF5" w14:textId="77777777" w:rsidR="001A7AE1" w:rsidRDefault="001A7AE1">
            <w:pPr>
              <w:rPr>
                <w:color w:val="000000"/>
              </w:rPr>
            </w:pPr>
            <w:r>
              <w:rPr>
                <w:color w:val="000000"/>
              </w:rPr>
              <w:t>T/RS 121X - (FYS) Bible</w:t>
            </w:r>
          </w:p>
        </w:tc>
        <w:tc>
          <w:tcPr>
            <w:tcW w:w="996" w:type="dxa"/>
            <w:tcBorders>
              <w:top w:val="nil"/>
              <w:left w:val="nil"/>
              <w:bottom w:val="nil"/>
              <w:right w:val="nil"/>
            </w:tcBorders>
            <w:shd w:val="clear" w:color="auto" w:fill="auto"/>
            <w:noWrap/>
            <w:vAlign w:val="center"/>
            <w:hideMark/>
          </w:tcPr>
          <w:p w14:paraId="67604AC0" w14:textId="77777777" w:rsidR="001A7AE1" w:rsidRDefault="001A7AE1">
            <w:pPr>
              <w:jc w:val="center"/>
              <w:rPr>
                <w:color w:val="000000"/>
              </w:rPr>
            </w:pPr>
            <w:r>
              <w:rPr>
                <w:color w:val="000000"/>
              </w:rPr>
              <w:t>3</w:t>
            </w:r>
          </w:p>
        </w:tc>
        <w:tc>
          <w:tcPr>
            <w:tcW w:w="1037" w:type="dxa"/>
            <w:tcBorders>
              <w:top w:val="nil"/>
              <w:left w:val="nil"/>
              <w:bottom w:val="nil"/>
              <w:right w:val="single" w:sz="8" w:space="0" w:color="auto"/>
            </w:tcBorders>
            <w:shd w:val="clear" w:color="auto" w:fill="auto"/>
            <w:noWrap/>
            <w:vAlign w:val="center"/>
            <w:hideMark/>
          </w:tcPr>
          <w:p w14:paraId="7420881B" w14:textId="77777777" w:rsidR="001A7AE1" w:rsidRDefault="001A7AE1">
            <w:pPr>
              <w:jc w:val="center"/>
              <w:rPr>
                <w:color w:val="000000"/>
              </w:rPr>
            </w:pPr>
            <w:r>
              <w:rPr>
                <w:color w:val="000000"/>
              </w:rPr>
              <w:t> </w:t>
            </w:r>
          </w:p>
        </w:tc>
      </w:tr>
      <w:tr w:rsidR="001A7AE1" w14:paraId="6E6B9BCD" w14:textId="77777777" w:rsidTr="001A7AE1">
        <w:trPr>
          <w:trHeight w:val="340"/>
        </w:trPr>
        <w:tc>
          <w:tcPr>
            <w:tcW w:w="2118" w:type="dxa"/>
            <w:tcBorders>
              <w:top w:val="nil"/>
              <w:left w:val="single" w:sz="8" w:space="0" w:color="auto"/>
              <w:bottom w:val="single" w:sz="8" w:space="0" w:color="auto"/>
              <w:right w:val="nil"/>
            </w:tcBorders>
            <w:shd w:val="clear" w:color="auto" w:fill="auto"/>
            <w:noWrap/>
            <w:vAlign w:val="bottom"/>
            <w:hideMark/>
          </w:tcPr>
          <w:p w14:paraId="1F9DC3FF" w14:textId="77777777" w:rsidR="001A7AE1" w:rsidRDefault="001A7AE1">
            <w:pPr>
              <w:rPr>
                <w:color w:val="000000"/>
              </w:rPr>
            </w:pPr>
            <w:r>
              <w:rPr>
                <w:color w:val="000000"/>
              </w:rPr>
              <w:t> </w:t>
            </w:r>
          </w:p>
        </w:tc>
        <w:tc>
          <w:tcPr>
            <w:tcW w:w="5889" w:type="dxa"/>
            <w:tcBorders>
              <w:top w:val="nil"/>
              <w:left w:val="nil"/>
              <w:bottom w:val="single" w:sz="8" w:space="0" w:color="auto"/>
              <w:right w:val="nil"/>
            </w:tcBorders>
            <w:shd w:val="clear" w:color="auto" w:fill="auto"/>
            <w:noWrap/>
            <w:vAlign w:val="bottom"/>
            <w:hideMark/>
          </w:tcPr>
          <w:p w14:paraId="0274DD11" w14:textId="77777777" w:rsidR="001A7AE1" w:rsidRDefault="001A7AE1">
            <w:pPr>
              <w:rPr>
                <w:color w:val="000000"/>
              </w:rPr>
            </w:pPr>
            <w:r>
              <w:rPr>
                <w:color w:val="000000"/>
              </w:rPr>
              <w:t> </w:t>
            </w:r>
          </w:p>
        </w:tc>
        <w:tc>
          <w:tcPr>
            <w:tcW w:w="996" w:type="dxa"/>
            <w:tcBorders>
              <w:top w:val="nil"/>
              <w:left w:val="nil"/>
              <w:bottom w:val="single" w:sz="8" w:space="0" w:color="auto"/>
              <w:right w:val="nil"/>
            </w:tcBorders>
            <w:shd w:val="clear" w:color="auto" w:fill="auto"/>
            <w:noWrap/>
            <w:vAlign w:val="bottom"/>
            <w:hideMark/>
          </w:tcPr>
          <w:p w14:paraId="585176F8" w14:textId="77777777" w:rsidR="001A7AE1" w:rsidRDefault="001A7AE1">
            <w:pPr>
              <w:jc w:val="center"/>
              <w:rPr>
                <w:b/>
                <w:bCs/>
                <w:color w:val="000000"/>
              </w:rPr>
            </w:pPr>
            <w:r>
              <w:rPr>
                <w:b/>
                <w:bCs/>
                <w:color w:val="000000"/>
              </w:rPr>
              <w:t>15</w:t>
            </w:r>
          </w:p>
        </w:tc>
        <w:tc>
          <w:tcPr>
            <w:tcW w:w="1037" w:type="dxa"/>
            <w:tcBorders>
              <w:top w:val="nil"/>
              <w:left w:val="nil"/>
              <w:bottom w:val="single" w:sz="8" w:space="0" w:color="auto"/>
              <w:right w:val="single" w:sz="8" w:space="0" w:color="auto"/>
            </w:tcBorders>
            <w:shd w:val="clear" w:color="auto" w:fill="auto"/>
            <w:noWrap/>
            <w:vAlign w:val="bottom"/>
            <w:hideMark/>
          </w:tcPr>
          <w:p w14:paraId="484DDEDD" w14:textId="77777777" w:rsidR="001A7AE1" w:rsidRDefault="001A7AE1">
            <w:pPr>
              <w:jc w:val="center"/>
              <w:rPr>
                <w:b/>
                <w:bCs/>
                <w:color w:val="000000"/>
              </w:rPr>
            </w:pPr>
            <w:r>
              <w:rPr>
                <w:b/>
                <w:bCs/>
                <w:color w:val="000000"/>
              </w:rPr>
              <w:t>15</w:t>
            </w:r>
          </w:p>
        </w:tc>
      </w:tr>
      <w:tr w:rsidR="001A7AE1" w14:paraId="079B9C47" w14:textId="77777777" w:rsidTr="001A7AE1">
        <w:trPr>
          <w:trHeight w:val="400"/>
        </w:trPr>
        <w:tc>
          <w:tcPr>
            <w:tcW w:w="8007" w:type="dxa"/>
            <w:gridSpan w:val="2"/>
            <w:tcBorders>
              <w:top w:val="single" w:sz="8" w:space="0" w:color="auto"/>
              <w:left w:val="single" w:sz="8" w:space="0" w:color="auto"/>
              <w:bottom w:val="nil"/>
              <w:right w:val="nil"/>
            </w:tcBorders>
            <w:shd w:val="clear" w:color="auto" w:fill="auto"/>
            <w:noWrap/>
            <w:vAlign w:val="bottom"/>
            <w:hideMark/>
          </w:tcPr>
          <w:p w14:paraId="3144E74F" w14:textId="77777777" w:rsidR="001A7AE1" w:rsidRDefault="001A7AE1">
            <w:pPr>
              <w:rPr>
                <w:b/>
                <w:bCs/>
                <w:color w:val="000000"/>
                <w:sz w:val="32"/>
                <w:szCs w:val="32"/>
              </w:rPr>
            </w:pPr>
            <w:r>
              <w:rPr>
                <w:b/>
                <w:bCs/>
                <w:color w:val="000000"/>
                <w:sz w:val="32"/>
                <w:szCs w:val="32"/>
              </w:rPr>
              <w:t>Second Year</w:t>
            </w:r>
          </w:p>
        </w:tc>
        <w:tc>
          <w:tcPr>
            <w:tcW w:w="996" w:type="dxa"/>
            <w:tcBorders>
              <w:top w:val="nil"/>
              <w:left w:val="nil"/>
              <w:bottom w:val="nil"/>
              <w:right w:val="nil"/>
            </w:tcBorders>
            <w:shd w:val="clear" w:color="auto" w:fill="auto"/>
            <w:noWrap/>
            <w:vAlign w:val="bottom"/>
            <w:hideMark/>
          </w:tcPr>
          <w:p w14:paraId="3B6A8177" w14:textId="77777777" w:rsidR="001A7AE1" w:rsidRDefault="001A7AE1">
            <w:pPr>
              <w:rPr>
                <w:color w:val="000000"/>
              </w:rPr>
            </w:pPr>
            <w:r>
              <w:rPr>
                <w:color w:val="000000"/>
              </w:rPr>
              <w:t> </w:t>
            </w:r>
          </w:p>
        </w:tc>
        <w:tc>
          <w:tcPr>
            <w:tcW w:w="1037" w:type="dxa"/>
            <w:tcBorders>
              <w:top w:val="nil"/>
              <w:left w:val="nil"/>
              <w:bottom w:val="nil"/>
              <w:right w:val="single" w:sz="8" w:space="0" w:color="auto"/>
            </w:tcBorders>
            <w:shd w:val="clear" w:color="auto" w:fill="auto"/>
            <w:noWrap/>
            <w:vAlign w:val="bottom"/>
            <w:hideMark/>
          </w:tcPr>
          <w:p w14:paraId="7FF57BCE" w14:textId="77777777" w:rsidR="001A7AE1" w:rsidRDefault="001A7AE1">
            <w:pPr>
              <w:rPr>
                <w:color w:val="000000"/>
              </w:rPr>
            </w:pPr>
            <w:r>
              <w:rPr>
                <w:color w:val="000000"/>
              </w:rPr>
              <w:t> </w:t>
            </w:r>
          </w:p>
        </w:tc>
      </w:tr>
      <w:tr w:rsidR="001A7AE1" w14:paraId="7C004C00" w14:textId="77777777" w:rsidTr="001A7AE1">
        <w:trPr>
          <w:trHeight w:val="680"/>
        </w:trPr>
        <w:tc>
          <w:tcPr>
            <w:tcW w:w="2118" w:type="dxa"/>
            <w:tcBorders>
              <w:top w:val="nil"/>
              <w:left w:val="single" w:sz="8" w:space="0" w:color="auto"/>
              <w:bottom w:val="nil"/>
              <w:right w:val="nil"/>
            </w:tcBorders>
            <w:shd w:val="clear" w:color="auto" w:fill="auto"/>
            <w:noWrap/>
            <w:vAlign w:val="center"/>
            <w:hideMark/>
          </w:tcPr>
          <w:p w14:paraId="32DB3020" w14:textId="77777777" w:rsidR="00552761" w:rsidRDefault="00552761">
            <w:pPr>
              <w:rPr>
                <w:color w:val="000000"/>
              </w:rPr>
            </w:pPr>
          </w:p>
          <w:p w14:paraId="77C70ECE" w14:textId="42E3A91A" w:rsidR="001A7AE1" w:rsidRDefault="001A7AE1">
            <w:pPr>
              <w:rPr>
                <w:color w:val="000000"/>
              </w:rPr>
            </w:pPr>
            <w:r>
              <w:rPr>
                <w:color w:val="000000"/>
              </w:rPr>
              <w:t>Major</w:t>
            </w:r>
          </w:p>
        </w:tc>
        <w:tc>
          <w:tcPr>
            <w:tcW w:w="5889" w:type="dxa"/>
            <w:tcBorders>
              <w:top w:val="nil"/>
              <w:left w:val="nil"/>
              <w:bottom w:val="nil"/>
              <w:right w:val="nil"/>
            </w:tcBorders>
            <w:shd w:val="clear" w:color="auto" w:fill="auto"/>
            <w:vAlign w:val="bottom"/>
            <w:hideMark/>
          </w:tcPr>
          <w:p w14:paraId="2A8FEBD3" w14:textId="77777777" w:rsidR="001A7AE1" w:rsidRDefault="001A7AE1">
            <w:pPr>
              <w:rPr>
                <w:color w:val="000000"/>
              </w:rPr>
            </w:pPr>
            <w:r>
              <w:rPr>
                <w:color w:val="000000"/>
              </w:rPr>
              <w:t>BIOL 250: Microbiology 1 + Lab - BIOL 260: Genetics</w:t>
            </w:r>
          </w:p>
        </w:tc>
        <w:tc>
          <w:tcPr>
            <w:tcW w:w="996" w:type="dxa"/>
            <w:tcBorders>
              <w:top w:val="nil"/>
              <w:left w:val="nil"/>
              <w:bottom w:val="nil"/>
              <w:right w:val="nil"/>
            </w:tcBorders>
            <w:shd w:val="clear" w:color="auto" w:fill="auto"/>
            <w:noWrap/>
            <w:vAlign w:val="center"/>
            <w:hideMark/>
          </w:tcPr>
          <w:p w14:paraId="42D95D1C" w14:textId="77777777" w:rsidR="007E200B" w:rsidRDefault="007E200B">
            <w:pPr>
              <w:jc w:val="center"/>
              <w:rPr>
                <w:color w:val="000000"/>
              </w:rPr>
            </w:pPr>
          </w:p>
          <w:p w14:paraId="6E56C236" w14:textId="70CB506D" w:rsidR="001A7AE1" w:rsidRDefault="001A7AE1">
            <w:pPr>
              <w:jc w:val="center"/>
              <w:rPr>
                <w:color w:val="000000"/>
              </w:rPr>
            </w:pPr>
            <w:r>
              <w:rPr>
                <w:color w:val="000000"/>
              </w:rPr>
              <w:t>5</w:t>
            </w:r>
          </w:p>
        </w:tc>
        <w:tc>
          <w:tcPr>
            <w:tcW w:w="1037" w:type="dxa"/>
            <w:tcBorders>
              <w:top w:val="nil"/>
              <w:left w:val="nil"/>
              <w:bottom w:val="nil"/>
              <w:right w:val="single" w:sz="8" w:space="0" w:color="auto"/>
            </w:tcBorders>
            <w:shd w:val="clear" w:color="auto" w:fill="auto"/>
            <w:noWrap/>
            <w:vAlign w:val="center"/>
            <w:hideMark/>
          </w:tcPr>
          <w:p w14:paraId="4FBBB862" w14:textId="77777777" w:rsidR="007E200B" w:rsidRDefault="007E200B">
            <w:pPr>
              <w:jc w:val="center"/>
              <w:rPr>
                <w:color w:val="000000"/>
              </w:rPr>
            </w:pPr>
          </w:p>
          <w:p w14:paraId="1165732D" w14:textId="27D5CA39" w:rsidR="001A7AE1" w:rsidRDefault="001A7AE1">
            <w:pPr>
              <w:jc w:val="center"/>
              <w:rPr>
                <w:color w:val="000000"/>
              </w:rPr>
            </w:pPr>
            <w:r>
              <w:rPr>
                <w:color w:val="000000"/>
              </w:rPr>
              <w:t>3</w:t>
            </w:r>
          </w:p>
        </w:tc>
      </w:tr>
      <w:tr w:rsidR="001A7AE1" w14:paraId="72910CDF" w14:textId="77777777" w:rsidTr="001A7AE1">
        <w:trPr>
          <w:trHeight w:val="1020"/>
        </w:trPr>
        <w:tc>
          <w:tcPr>
            <w:tcW w:w="2118" w:type="dxa"/>
            <w:tcBorders>
              <w:top w:val="nil"/>
              <w:left w:val="single" w:sz="8" w:space="0" w:color="auto"/>
              <w:bottom w:val="nil"/>
              <w:right w:val="nil"/>
            </w:tcBorders>
            <w:shd w:val="clear" w:color="auto" w:fill="auto"/>
            <w:noWrap/>
            <w:vAlign w:val="center"/>
            <w:hideMark/>
          </w:tcPr>
          <w:p w14:paraId="3270A738" w14:textId="77777777" w:rsidR="001A7AE1" w:rsidRDefault="001A7AE1">
            <w:pPr>
              <w:rPr>
                <w:color w:val="000000"/>
              </w:rPr>
            </w:pPr>
            <w:r>
              <w:rPr>
                <w:color w:val="000000"/>
              </w:rPr>
              <w:t>Cognate</w:t>
            </w:r>
          </w:p>
        </w:tc>
        <w:tc>
          <w:tcPr>
            <w:tcW w:w="5889" w:type="dxa"/>
            <w:tcBorders>
              <w:top w:val="nil"/>
              <w:left w:val="nil"/>
              <w:bottom w:val="nil"/>
              <w:right w:val="nil"/>
            </w:tcBorders>
            <w:shd w:val="clear" w:color="auto" w:fill="auto"/>
            <w:vAlign w:val="bottom"/>
            <w:hideMark/>
          </w:tcPr>
          <w:p w14:paraId="26CBD5B4" w14:textId="77777777" w:rsidR="001A7AE1" w:rsidRDefault="001A7AE1">
            <w:pPr>
              <w:rPr>
                <w:color w:val="000000"/>
              </w:rPr>
            </w:pPr>
            <w:r>
              <w:rPr>
                <w:color w:val="000000"/>
              </w:rPr>
              <w:t>CHEM 232 - (E) Organic Chemistry/CHEM 232L – CHEM 233 - (E) Organic Chemistry/CHEM 233L </w:t>
            </w:r>
          </w:p>
        </w:tc>
        <w:tc>
          <w:tcPr>
            <w:tcW w:w="996" w:type="dxa"/>
            <w:tcBorders>
              <w:top w:val="nil"/>
              <w:left w:val="nil"/>
              <w:bottom w:val="nil"/>
              <w:right w:val="nil"/>
            </w:tcBorders>
            <w:shd w:val="clear" w:color="auto" w:fill="auto"/>
            <w:noWrap/>
            <w:vAlign w:val="center"/>
            <w:hideMark/>
          </w:tcPr>
          <w:p w14:paraId="74D2235E" w14:textId="77777777" w:rsidR="001A7AE1" w:rsidRDefault="001A7AE1">
            <w:pPr>
              <w:jc w:val="center"/>
              <w:rPr>
                <w:color w:val="000000"/>
              </w:rPr>
            </w:pPr>
            <w:r>
              <w:rPr>
                <w:color w:val="000000"/>
              </w:rPr>
              <w:t>4.5</w:t>
            </w:r>
          </w:p>
        </w:tc>
        <w:tc>
          <w:tcPr>
            <w:tcW w:w="1037" w:type="dxa"/>
            <w:tcBorders>
              <w:top w:val="nil"/>
              <w:left w:val="nil"/>
              <w:bottom w:val="nil"/>
              <w:right w:val="single" w:sz="8" w:space="0" w:color="auto"/>
            </w:tcBorders>
            <w:shd w:val="clear" w:color="auto" w:fill="auto"/>
            <w:noWrap/>
            <w:vAlign w:val="center"/>
            <w:hideMark/>
          </w:tcPr>
          <w:p w14:paraId="3CA3CA34" w14:textId="77777777" w:rsidR="001A7AE1" w:rsidRDefault="001A7AE1">
            <w:pPr>
              <w:jc w:val="center"/>
              <w:rPr>
                <w:color w:val="000000"/>
              </w:rPr>
            </w:pPr>
            <w:r>
              <w:rPr>
                <w:color w:val="000000"/>
              </w:rPr>
              <w:t>4.5</w:t>
            </w:r>
          </w:p>
        </w:tc>
      </w:tr>
      <w:tr w:rsidR="001A7AE1" w14:paraId="2D6BF275" w14:textId="77777777" w:rsidTr="001A7AE1">
        <w:trPr>
          <w:trHeight w:val="320"/>
        </w:trPr>
        <w:tc>
          <w:tcPr>
            <w:tcW w:w="2118" w:type="dxa"/>
            <w:tcBorders>
              <w:top w:val="nil"/>
              <w:left w:val="single" w:sz="8" w:space="0" w:color="auto"/>
              <w:bottom w:val="nil"/>
              <w:right w:val="nil"/>
            </w:tcBorders>
            <w:shd w:val="clear" w:color="auto" w:fill="auto"/>
            <w:noWrap/>
            <w:vAlign w:val="bottom"/>
            <w:hideMark/>
          </w:tcPr>
          <w:p w14:paraId="41A7BB00" w14:textId="77777777" w:rsidR="001A7AE1" w:rsidRDefault="001A7AE1">
            <w:pPr>
              <w:rPr>
                <w:color w:val="000000"/>
              </w:rPr>
            </w:pPr>
            <w:r>
              <w:rPr>
                <w:color w:val="000000"/>
              </w:rPr>
              <w:t>GE QUAN</w:t>
            </w:r>
          </w:p>
        </w:tc>
        <w:tc>
          <w:tcPr>
            <w:tcW w:w="5889" w:type="dxa"/>
            <w:tcBorders>
              <w:top w:val="nil"/>
              <w:left w:val="nil"/>
              <w:bottom w:val="nil"/>
              <w:right w:val="nil"/>
            </w:tcBorders>
            <w:shd w:val="clear" w:color="auto" w:fill="auto"/>
            <w:noWrap/>
            <w:vAlign w:val="bottom"/>
            <w:hideMark/>
          </w:tcPr>
          <w:p w14:paraId="5ABDCFBB" w14:textId="77777777" w:rsidR="001A7AE1" w:rsidRDefault="001A7AE1">
            <w:pPr>
              <w:rPr>
                <w:color w:val="000000"/>
              </w:rPr>
            </w:pPr>
            <w:r>
              <w:rPr>
                <w:color w:val="000000"/>
              </w:rPr>
              <w:t>Math 114: (Q) Calculus 1</w:t>
            </w:r>
          </w:p>
        </w:tc>
        <w:tc>
          <w:tcPr>
            <w:tcW w:w="996" w:type="dxa"/>
            <w:tcBorders>
              <w:top w:val="nil"/>
              <w:left w:val="nil"/>
              <w:bottom w:val="nil"/>
              <w:right w:val="nil"/>
            </w:tcBorders>
            <w:shd w:val="clear" w:color="auto" w:fill="auto"/>
            <w:noWrap/>
            <w:vAlign w:val="bottom"/>
            <w:hideMark/>
          </w:tcPr>
          <w:p w14:paraId="3ED725E1" w14:textId="77777777" w:rsidR="001A7AE1" w:rsidRDefault="001A7AE1">
            <w:pPr>
              <w:rPr>
                <w:color w:val="000000"/>
              </w:rPr>
            </w:pPr>
          </w:p>
        </w:tc>
        <w:tc>
          <w:tcPr>
            <w:tcW w:w="1037" w:type="dxa"/>
            <w:tcBorders>
              <w:top w:val="nil"/>
              <w:left w:val="nil"/>
              <w:bottom w:val="nil"/>
              <w:right w:val="single" w:sz="8" w:space="0" w:color="auto"/>
            </w:tcBorders>
            <w:shd w:val="clear" w:color="auto" w:fill="auto"/>
            <w:noWrap/>
            <w:vAlign w:val="bottom"/>
            <w:hideMark/>
          </w:tcPr>
          <w:p w14:paraId="5ED5069F" w14:textId="77777777" w:rsidR="001A7AE1" w:rsidRDefault="001A7AE1">
            <w:pPr>
              <w:jc w:val="center"/>
              <w:rPr>
                <w:color w:val="000000"/>
              </w:rPr>
            </w:pPr>
            <w:r>
              <w:rPr>
                <w:color w:val="000000"/>
              </w:rPr>
              <w:t>4</w:t>
            </w:r>
          </w:p>
        </w:tc>
      </w:tr>
      <w:tr w:rsidR="001A7AE1" w14:paraId="3DFD110A" w14:textId="77777777" w:rsidTr="001A7AE1">
        <w:trPr>
          <w:trHeight w:val="320"/>
        </w:trPr>
        <w:tc>
          <w:tcPr>
            <w:tcW w:w="2118" w:type="dxa"/>
            <w:tcBorders>
              <w:top w:val="nil"/>
              <w:left w:val="single" w:sz="8" w:space="0" w:color="auto"/>
              <w:bottom w:val="nil"/>
              <w:right w:val="nil"/>
            </w:tcBorders>
            <w:shd w:val="clear" w:color="auto" w:fill="auto"/>
            <w:noWrap/>
            <w:vAlign w:val="bottom"/>
            <w:hideMark/>
          </w:tcPr>
          <w:p w14:paraId="7BE5FD6E" w14:textId="772197DA" w:rsidR="00830787" w:rsidRDefault="00830787">
            <w:pPr>
              <w:rPr>
                <w:color w:val="000000"/>
              </w:rPr>
            </w:pPr>
            <w:r>
              <w:rPr>
                <w:color w:val="000000"/>
              </w:rPr>
              <w:t>GE ELECT</w:t>
            </w:r>
          </w:p>
          <w:p w14:paraId="21412D2D" w14:textId="63ACEBFC" w:rsidR="001A7AE1" w:rsidRDefault="001A7AE1">
            <w:pPr>
              <w:rPr>
                <w:color w:val="000000"/>
              </w:rPr>
            </w:pPr>
            <w:r>
              <w:rPr>
                <w:color w:val="000000"/>
              </w:rPr>
              <w:t>GE HUMN</w:t>
            </w:r>
          </w:p>
        </w:tc>
        <w:tc>
          <w:tcPr>
            <w:tcW w:w="5889" w:type="dxa"/>
            <w:tcBorders>
              <w:top w:val="nil"/>
              <w:left w:val="nil"/>
              <w:bottom w:val="nil"/>
              <w:right w:val="nil"/>
            </w:tcBorders>
            <w:shd w:val="clear" w:color="auto" w:fill="auto"/>
            <w:noWrap/>
            <w:vAlign w:val="bottom"/>
            <w:hideMark/>
          </w:tcPr>
          <w:p w14:paraId="4120A687" w14:textId="7DF88A6E" w:rsidR="00830787" w:rsidRDefault="00830787">
            <w:pPr>
              <w:rPr>
                <w:color w:val="000000"/>
              </w:rPr>
            </w:pPr>
            <w:r>
              <w:rPr>
                <w:color w:val="000000"/>
              </w:rPr>
              <w:t>ENLT 121: Intro to Poetr</w:t>
            </w:r>
            <w:r w:rsidR="00552761">
              <w:rPr>
                <w:color w:val="000000"/>
              </w:rPr>
              <w:t>y</w:t>
            </w:r>
          </w:p>
          <w:p w14:paraId="5C6ED370" w14:textId="5ECB87AB" w:rsidR="001A7AE1" w:rsidRDefault="001A7AE1">
            <w:pPr>
              <w:rPr>
                <w:color w:val="000000"/>
              </w:rPr>
            </w:pPr>
            <w:r>
              <w:rPr>
                <w:color w:val="000000"/>
              </w:rPr>
              <w:t>SPAN 320 + SPAN 321</w:t>
            </w:r>
          </w:p>
        </w:tc>
        <w:tc>
          <w:tcPr>
            <w:tcW w:w="996" w:type="dxa"/>
            <w:tcBorders>
              <w:top w:val="nil"/>
              <w:left w:val="nil"/>
              <w:bottom w:val="nil"/>
              <w:right w:val="nil"/>
            </w:tcBorders>
            <w:shd w:val="clear" w:color="auto" w:fill="auto"/>
            <w:noWrap/>
            <w:vAlign w:val="center"/>
            <w:hideMark/>
          </w:tcPr>
          <w:p w14:paraId="1C9A49EB" w14:textId="6DBB3998" w:rsidR="00552761" w:rsidRDefault="00552761">
            <w:pPr>
              <w:jc w:val="center"/>
              <w:rPr>
                <w:color w:val="000000"/>
              </w:rPr>
            </w:pPr>
          </w:p>
          <w:p w14:paraId="22B26374" w14:textId="1DD201C3" w:rsidR="001A7AE1" w:rsidRDefault="001A7AE1">
            <w:pPr>
              <w:jc w:val="center"/>
              <w:rPr>
                <w:color w:val="000000"/>
              </w:rPr>
            </w:pPr>
            <w:r>
              <w:rPr>
                <w:color w:val="000000"/>
              </w:rPr>
              <w:t>3</w:t>
            </w:r>
          </w:p>
        </w:tc>
        <w:tc>
          <w:tcPr>
            <w:tcW w:w="1037" w:type="dxa"/>
            <w:tcBorders>
              <w:top w:val="nil"/>
              <w:left w:val="nil"/>
              <w:bottom w:val="nil"/>
              <w:right w:val="single" w:sz="8" w:space="0" w:color="auto"/>
            </w:tcBorders>
            <w:shd w:val="clear" w:color="auto" w:fill="auto"/>
            <w:noWrap/>
            <w:vAlign w:val="bottom"/>
            <w:hideMark/>
          </w:tcPr>
          <w:p w14:paraId="0C1389E4" w14:textId="649DA374" w:rsidR="00A1315F" w:rsidRDefault="00A1315F">
            <w:pPr>
              <w:jc w:val="center"/>
              <w:rPr>
                <w:color w:val="000000"/>
              </w:rPr>
            </w:pPr>
            <w:r>
              <w:rPr>
                <w:color w:val="000000"/>
              </w:rPr>
              <w:t>3</w:t>
            </w:r>
          </w:p>
          <w:p w14:paraId="309E24F8" w14:textId="4F1C4F1A" w:rsidR="001A7AE1" w:rsidRDefault="001A7AE1">
            <w:pPr>
              <w:jc w:val="center"/>
              <w:rPr>
                <w:color w:val="000000"/>
              </w:rPr>
            </w:pPr>
            <w:r>
              <w:rPr>
                <w:color w:val="000000"/>
              </w:rPr>
              <w:t>3</w:t>
            </w:r>
          </w:p>
        </w:tc>
      </w:tr>
      <w:tr w:rsidR="001A7AE1" w14:paraId="0CF095E1" w14:textId="77777777" w:rsidTr="001A7AE1">
        <w:trPr>
          <w:trHeight w:val="340"/>
        </w:trPr>
        <w:tc>
          <w:tcPr>
            <w:tcW w:w="2118" w:type="dxa"/>
            <w:tcBorders>
              <w:top w:val="nil"/>
              <w:left w:val="single" w:sz="8" w:space="0" w:color="auto"/>
              <w:bottom w:val="single" w:sz="8" w:space="0" w:color="auto"/>
              <w:right w:val="nil"/>
            </w:tcBorders>
            <w:shd w:val="clear" w:color="auto" w:fill="auto"/>
            <w:noWrap/>
            <w:vAlign w:val="bottom"/>
            <w:hideMark/>
          </w:tcPr>
          <w:p w14:paraId="30838965" w14:textId="77777777" w:rsidR="001A7AE1" w:rsidRDefault="001A7AE1">
            <w:pPr>
              <w:rPr>
                <w:color w:val="000000"/>
              </w:rPr>
            </w:pPr>
            <w:r>
              <w:rPr>
                <w:color w:val="000000"/>
              </w:rPr>
              <w:t> </w:t>
            </w:r>
          </w:p>
        </w:tc>
        <w:tc>
          <w:tcPr>
            <w:tcW w:w="5889" w:type="dxa"/>
            <w:tcBorders>
              <w:top w:val="nil"/>
              <w:left w:val="nil"/>
              <w:bottom w:val="single" w:sz="8" w:space="0" w:color="auto"/>
              <w:right w:val="nil"/>
            </w:tcBorders>
            <w:shd w:val="clear" w:color="auto" w:fill="auto"/>
            <w:noWrap/>
            <w:vAlign w:val="bottom"/>
            <w:hideMark/>
          </w:tcPr>
          <w:p w14:paraId="413ABC96" w14:textId="77777777" w:rsidR="001A7AE1" w:rsidRDefault="001A7AE1">
            <w:pPr>
              <w:rPr>
                <w:color w:val="000000"/>
              </w:rPr>
            </w:pPr>
            <w:r>
              <w:rPr>
                <w:color w:val="000000"/>
              </w:rPr>
              <w:t> </w:t>
            </w:r>
          </w:p>
        </w:tc>
        <w:tc>
          <w:tcPr>
            <w:tcW w:w="996" w:type="dxa"/>
            <w:tcBorders>
              <w:top w:val="nil"/>
              <w:left w:val="nil"/>
              <w:bottom w:val="single" w:sz="8" w:space="0" w:color="auto"/>
              <w:right w:val="nil"/>
            </w:tcBorders>
            <w:shd w:val="clear" w:color="auto" w:fill="auto"/>
            <w:noWrap/>
            <w:vAlign w:val="bottom"/>
            <w:hideMark/>
          </w:tcPr>
          <w:p w14:paraId="0561989E" w14:textId="77777777" w:rsidR="001A7AE1" w:rsidRDefault="001A7AE1">
            <w:pPr>
              <w:jc w:val="center"/>
              <w:rPr>
                <w:b/>
                <w:bCs/>
                <w:color w:val="000000"/>
              </w:rPr>
            </w:pPr>
            <w:r>
              <w:rPr>
                <w:b/>
                <w:bCs/>
                <w:color w:val="000000"/>
              </w:rPr>
              <w:t>15.5</w:t>
            </w:r>
          </w:p>
        </w:tc>
        <w:tc>
          <w:tcPr>
            <w:tcW w:w="1037" w:type="dxa"/>
            <w:tcBorders>
              <w:top w:val="nil"/>
              <w:left w:val="nil"/>
              <w:bottom w:val="single" w:sz="8" w:space="0" w:color="auto"/>
              <w:right w:val="single" w:sz="8" w:space="0" w:color="auto"/>
            </w:tcBorders>
            <w:shd w:val="clear" w:color="auto" w:fill="auto"/>
            <w:noWrap/>
            <w:vAlign w:val="bottom"/>
            <w:hideMark/>
          </w:tcPr>
          <w:p w14:paraId="0C289BE0" w14:textId="70E92EE5" w:rsidR="001A7AE1" w:rsidRDefault="001A7AE1">
            <w:pPr>
              <w:jc w:val="center"/>
              <w:rPr>
                <w:b/>
                <w:bCs/>
                <w:color w:val="000000"/>
              </w:rPr>
            </w:pPr>
            <w:r>
              <w:rPr>
                <w:b/>
                <w:bCs/>
                <w:color w:val="000000"/>
              </w:rPr>
              <w:t>1</w:t>
            </w:r>
            <w:r w:rsidR="00A1315F">
              <w:rPr>
                <w:b/>
                <w:bCs/>
                <w:color w:val="000000"/>
              </w:rPr>
              <w:t>7</w:t>
            </w:r>
            <w:r>
              <w:rPr>
                <w:b/>
                <w:bCs/>
                <w:color w:val="000000"/>
              </w:rPr>
              <w:t>.5</w:t>
            </w:r>
          </w:p>
        </w:tc>
      </w:tr>
      <w:tr w:rsidR="001A7AE1" w14:paraId="077070A4" w14:textId="77777777" w:rsidTr="001A7AE1">
        <w:trPr>
          <w:trHeight w:val="400"/>
        </w:trPr>
        <w:tc>
          <w:tcPr>
            <w:tcW w:w="8007" w:type="dxa"/>
            <w:gridSpan w:val="2"/>
            <w:tcBorders>
              <w:top w:val="single" w:sz="8" w:space="0" w:color="auto"/>
              <w:left w:val="single" w:sz="8" w:space="0" w:color="auto"/>
              <w:bottom w:val="nil"/>
              <w:right w:val="nil"/>
            </w:tcBorders>
            <w:shd w:val="clear" w:color="auto" w:fill="auto"/>
            <w:noWrap/>
            <w:vAlign w:val="bottom"/>
            <w:hideMark/>
          </w:tcPr>
          <w:p w14:paraId="04B28061" w14:textId="77777777" w:rsidR="001A7AE1" w:rsidRDefault="001A7AE1">
            <w:pPr>
              <w:rPr>
                <w:b/>
                <w:bCs/>
                <w:color w:val="000000"/>
                <w:sz w:val="32"/>
                <w:szCs w:val="32"/>
              </w:rPr>
            </w:pPr>
            <w:r>
              <w:rPr>
                <w:b/>
                <w:bCs/>
                <w:color w:val="000000"/>
                <w:sz w:val="32"/>
                <w:szCs w:val="32"/>
              </w:rPr>
              <w:lastRenderedPageBreak/>
              <w:t>Third Year</w:t>
            </w:r>
          </w:p>
        </w:tc>
        <w:tc>
          <w:tcPr>
            <w:tcW w:w="996" w:type="dxa"/>
            <w:tcBorders>
              <w:top w:val="nil"/>
              <w:left w:val="nil"/>
              <w:bottom w:val="nil"/>
              <w:right w:val="nil"/>
            </w:tcBorders>
            <w:shd w:val="clear" w:color="auto" w:fill="auto"/>
            <w:noWrap/>
            <w:vAlign w:val="bottom"/>
            <w:hideMark/>
          </w:tcPr>
          <w:p w14:paraId="4EF3C016" w14:textId="77777777" w:rsidR="001A7AE1" w:rsidRDefault="001A7AE1">
            <w:pPr>
              <w:rPr>
                <w:color w:val="000000"/>
              </w:rPr>
            </w:pPr>
            <w:r>
              <w:rPr>
                <w:color w:val="000000"/>
              </w:rPr>
              <w:t> </w:t>
            </w:r>
          </w:p>
        </w:tc>
        <w:tc>
          <w:tcPr>
            <w:tcW w:w="1037" w:type="dxa"/>
            <w:tcBorders>
              <w:top w:val="nil"/>
              <w:left w:val="nil"/>
              <w:bottom w:val="nil"/>
              <w:right w:val="single" w:sz="8" w:space="0" w:color="auto"/>
            </w:tcBorders>
            <w:shd w:val="clear" w:color="auto" w:fill="auto"/>
            <w:noWrap/>
            <w:vAlign w:val="bottom"/>
            <w:hideMark/>
          </w:tcPr>
          <w:p w14:paraId="781CE454" w14:textId="77777777" w:rsidR="001A7AE1" w:rsidRDefault="001A7AE1">
            <w:pPr>
              <w:rPr>
                <w:color w:val="000000"/>
              </w:rPr>
            </w:pPr>
            <w:r>
              <w:rPr>
                <w:color w:val="000000"/>
              </w:rPr>
              <w:t> </w:t>
            </w:r>
          </w:p>
        </w:tc>
      </w:tr>
      <w:tr w:rsidR="001A7AE1" w14:paraId="513DE959" w14:textId="77777777" w:rsidTr="001A7AE1">
        <w:trPr>
          <w:trHeight w:val="1020"/>
        </w:trPr>
        <w:tc>
          <w:tcPr>
            <w:tcW w:w="2118" w:type="dxa"/>
            <w:tcBorders>
              <w:top w:val="nil"/>
              <w:left w:val="single" w:sz="8" w:space="0" w:color="auto"/>
              <w:bottom w:val="nil"/>
              <w:right w:val="nil"/>
            </w:tcBorders>
            <w:shd w:val="clear" w:color="auto" w:fill="auto"/>
            <w:noWrap/>
            <w:vAlign w:val="center"/>
            <w:hideMark/>
          </w:tcPr>
          <w:p w14:paraId="7F9DFC72" w14:textId="77777777" w:rsidR="001A7AE1" w:rsidRDefault="001A7AE1">
            <w:pPr>
              <w:rPr>
                <w:color w:val="000000"/>
              </w:rPr>
            </w:pPr>
            <w:r>
              <w:rPr>
                <w:color w:val="000000"/>
              </w:rPr>
              <w:t>Major</w:t>
            </w:r>
          </w:p>
        </w:tc>
        <w:tc>
          <w:tcPr>
            <w:tcW w:w="5889" w:type="dxa"/>
            <w:tcBorders>
              <w:top w:val="nil"/>
              <w:left w:val="nil"/>
              <w:bottom w:val="nil"/>
              <w:right w:val="nil"/>
            </w:tcBorders>
            <w:shd w:val="clear" w:color="auto" w:fill="auto"/>
            <w:vAlign w:val="bottom"/>
            <w:hideMark/>
          </w:tcPr>
          <w:p w14:paraId="6AEA9C72" w14:textId="77777777" w:rsidR="001A7AE1" w:rsidRDefault="001A7AE1">
            <w:pPr>
              <w:rPr>
                <w:color w:val="000000"/>
              </w:rPr>
            </w:pPr>
            <w:r>
              <w:rPr>
                <w:color w:val="000000"/>
              </w:rPr>
              <w:t>BIOL 344 - Principles of Immunology (MC) / BIOL 350: (W, EPW: lab only) Cellular Biology (MC)</w:t>
            </w:r>
          </w:p>
        </w:tc>
        <w:tc>
          <w:tcPr>
            <w:tcW w:w="996" w:type="dxa"/>
            <w:tcBorders>
              <w:top w:val="nil"/>
              <w:left w:val="nil"/>
              <w:bottom w:val="nil"/>
              <w:right w:val="nil"/>
            </w:tcBorders>
            <w:shd w:val="clear" w:color="auto" w:fill="auto"/>
            <w:noWrap/>
            <w:vAlign w:val="center"/>
            <w:hideMark/>
          </w:tcPr>
          <w:p w14:paraId="4580A525" w14:textId="77777777" w:rsidR="001A7AE1" w:rsidRDefault="001A7AE1">
            <w:pPr>
              <w:jc w:val="center"/>
              <w:rPr>
                <w:color w:val="000000"/>
              </w:rPr>
            </w:pPr>
            <w:r>
              <w:rPr>
                <w:color w:val="000000"/>
              </w:rPr>
              <w:t>4.5</w:t>
            </w:r>
          </w:p>
        </w:tc>
        <w:tc>
          <w:tcPr>
            <w:tcW w:w="1037" w:type="dxa"/>
            <w:tcBorders>
              <w:top w:val="nil"/>
              <w:left w:val="nil"/>
              <w:bottom w:val="nil"/>
              <w:right w:val="single" w:sz="8" w:space="0" w:color="auto"/>
            </w:tcBorders>
            <w:shd w:val="clear" w:color="auto" w:fill="auto"/>
            <w:noWrap/>
            <w:vAlign w:val="center"/>
            <w:hideMark/>
          </w:tcPr>
          <w:p w14:paraId="734C4D49" w14:textId="77777777" w:rsidR="001A7AE1" w:rsidRDefault="001A7AE1">
            <w:pPr>
              <w:jc w:val="center"/>
              <w:rPr>
                <w:color w:val="000000"/>
              </w:rPr>
            </w:pPr>
            <w:r>
              <w:rPr>
                <w:color w:val="000000"/>
              </w:rPr>
              <w:t>5</w:t>
            </w:r>
          </w:p>
        </w:tc>
      </w:tr>
      <w:tr w:rsidR="001A7AE1" w14:paraId="0351917C" w14:textId="77777777" w:rsidTr="001A7AE1">
        <w:trPr>
          <w:trHeight w:val="1020"/>
        </w:trPr>
        <w:tc>
          <w:tcPr>
            <w:tcW w:w="2118" w:type="dxa"/>
            <w:tcBorders>
              <w:top w:val="nil"/>
              <w:left w:val="single" w:sz="8" w:space="0" w:color="auto"/>
              <w:bottom w:val="nil"/>
              <w:right w:val="nil"/>
            </w:tcBorders>
            <w:shd w:val="clear" w:color="auto" w:fill="auto"/>
            <w:noWrap/>
            <w:vAlign w:val="center"/>
            <w:hideMark/>
          </w:tcPr>
          <w:p w14:paraId="4F2DD0AD" w14:textId="77777777" w:rsidR="001A7AE1" w:rsidRDefault="001A7AE1">
            <w:pPr>
              <w:rPr>
                <w:color w:val="000000"/>
              </w:rPr>
            </w:pPr>
            <w:r>
              <w:rPr>
                <w:color w:val="000000"/>
              </w:rPr>
              <w:t>Cognate</w:t>
            </w:r>
          </w:p>
        </w:tc>
        <w:tc>
          <w:tcPr>
            <w:tcW w:w="5889" w:type="dxa"/>
            <w:tcBorders>
              <w:top w:val="nil"/>
              <w:left w:val="nil"/>
              <w:bottom w:val="nil"/>
              <w:right w:val="nil"/>
            </w:tcBorders>
            <w:shd w:val="clear" w:color="auto" w:fill="auto"/>
            <w:vAlign w:val="bottom"/>
            <w:hideMark/>
          </w:tcPr>
          <w:p w14:paraId="2BAB526B" w14:textId="77777777" w:rsidR="001A7AE1" w:rsidRDefault="001A7AE1">
            <w:pPr>
              <w:rPr>
                <w:color w:val="000000"/>
              </w:rPr>
            </w:pPr>
            <w:r>
              <w:rPr>
                <w:color w:val="000000"/>
              </w:rPr>
              <w:t>PHYS 120/PHYS 120L - (E) General Physics I – PHYS 121/PHYS 121L - (E) General Physics II </w:t>
            </w:r>
          </w:p>
        </w:tc>
        <w:tc>
          <w:tcPr>
            <w:tcW w:w="996" w:type="dxa"/>
            <w:tcBorders>
              <w:top w:val="nil"/>
              <w:left w:val="nil"/>
              <w:bottom w:val="nil"/>
              <w:right w:val="nil"/>
            </w:tcBorders>
            <w:shd w:val="clear" w:color="auto" w:fill="auto"/>
            <w:noWrap/>
            <w:vAlign w:val="center"/>
            <w:hideMark/>
          </w:tcPr>
          <w:p w14:paraId="668596FB" w14:textId="77777777" w:rsidR="001A7AE1" w:rsidRDefault="001A7AE1">
            <w:pPr>
              <w:jc w:val="center"/>
              <w:rPr>
                <w:color w:val="000000"/>
              </w:rPr>
            </w:pPr>
            <w:r>
              <w:rPr>
                <w:color w:val="000000"/>
              </w:rPr>
              <w:t>4</w:t>
            </w:r>
          </w:p>
        </w:tc>
        <w:tc>
          <w:tcPr>
            <w:tcW w:w="1037" w:type="dxa"/>
            <w:tcBorders>
              <w:top w:val="nil"/>
              <w:left w:val="nil"/>
              <w:bottom w:val="nil"/>
              <w:right w:val="single" w:sz="8" w:space="0" w:color="auto"/>
            </w:tcBorders>
            <w:shd w:val="clear" w:color="auto" w:fill="auto"/>
            <w:noWrap/>
            <w:vAlign w:val="center"/>
            <w:hideMark/>
          </w:tcPr>
          <w:p w14:paraId="2DFDF94C" w14:textId="77777777" w:rsidR="001A7AE1" w:rsidRDefault="001A7AE1">
            <w:pPr>
              <w:jc w:val="center"/>
              <w:rPr>
                <w:color w:val="000000"/>
              </w:rPr>
            </w:pPr>
            <w:r>
              <w:rPr>
                <w:color w:val="000000"/>
              </w:rPr>
              <w:t>4</w:t>
            </w:r>
          </w:p>
        </w:tc>
      </w:tr>
      <w:tr w:rsidR="001A7AE1" w14:paraId="3AE29B12" w14:textId="77777777" w:rsidTr="001A7AE1">
        <w:trPr>
          <w:trHeight w:val="320"/>
        </w:trPr>
        <w:tc>
          <w:tcPr>
            <w:tcW w:w="2118" w:type="dxa"/>
            <w:tcBorders>
              <w:top w:val="nil"/>
              <w:left w:val="single" w:sz="8" w:space="0" w:color="auto"/>
              <w:bottom w:val="nil"/>
              <w:right w:val="nil"/>
            </w:tcBorders>
            <w:shd w:val="clear" w:color="auto" w:fill="auto"/>
            <w:noWrap/>
            <w:vAlign w:val="bottom"/>
            <w:hideMark/>
          </w:tcPr>
          <w:p w14:paraId="6B46F05A" w14:textId="77777777" w:rsidR="001A7AE1" w:rsidRDefault="001A7AE1">
            <w:pPr>
              <w:rPr>
                <w:color w:val="000000"/>
              </w:rPr>
            </w:pPr>
            <w:r>
              <w:rPr>
                <w:color w:val="000000"/>
              </w:rPr>
              <w:t>GE S/BH</w:t>
            </w:r>
          </w:p>
        </w:tc>
        <w:tc>
          <w:tcPr>
            <w:tcW w:w="5889" w:type="dxa"/>
            <w:tcBorders>
              <w:top w:val="nil"/>
              <w:left w:val="nil"/>
              <w:bottom w:val="nil"/>
              <w:right w:val="nil"/>
            </w:tcBorders>
            <w:shd w:val="clear" w:color="auto" w:fill="auto"/>
            <w:noWrap/>
            <w:vAlign w:val="bottom"/>
            <w:hideMark/>
          </w:tcPr>
          <w:p w14:paraId="1B7F9048" w14:textId="77777777" w:rsidR="001A7AE1" w:rsidRDefault="001A7AE1">
            <w:pPr>
              <w:rPr>
                <w:color w:val="000000"/>
              </w:rPr>
            </w:pPr>
            <w:r>
              <w:rPr>
                <w:color w:val="000000"/>
              </w:rPr>
              <w:t>PSYC 110: Intro to Psychology (S/BH)</w:t>
            </w:r>
          </w:p>
        </w:tc>
        <w:tc>
          <w:tcPr>
            <w:tcW w:w="996" w:type="dxa"/>
            <w:tcBorders>
              <w:top w:val="nil"/>
              <w:left w:val="nil"/>
              <w:bottom w:val="nil"/>
              <w:right w:val="nil"/>
            </w:tcBorders>
            <w:shd w:val="clear" w:color="auto" w:fill="auto"/>
            <w:noWrap/>
            <w:vAlign w:val="bottom"/>
            <w:hideMark/>
          </w:tcPr>
          <w:p w14:paraId="07CECDA3" w14:textId="77777777" w:rsidR="001A7AE1" w:rsidRDefault="001A7AE1">
            <w:pPr>
              <w:jc w:val="center"/>
              <w:rPr>
                <w:color w:val="000000"/>
              </w:rPr>
            </w:pPr>
            <w:r>
              <w:rPr>
                <w:color w:val="000000"/>
              </w:rPr>
              <w:t>3</w:t>
            </w:r>
          </w:p>
        </w:tc>
        <w:tc>
          <w:tcPr>
            <w:tcW w:w="1037" w:type="dxa"/>
            <w:tcBorders>
              <w:top w:val="nil"/>
              <w:left w:val="nil"/>
              <w:bottom w:val="nil"/>
              <w:right w:val="single" w:sz="8" w:space="0" w:color="auto"/>
            </w:tcBorders>
            <w:shd w:val="clear" w:color="auto" w:fill="auto"/>
            <w:noWrap/>
            <w:vAlign w:val="bottom"/>
            <w:hideMark/>
          </w:tcPr>
          <w:p w14:paraId="23B39187" w14:textId="77777777" w:rsidR="001A7AE1" w:rsidRDefault="001A7AE1">
            <w:pPr>
              <w:rPr>
                <w:color w:val="000000"/>
              </w:rPr>
            </w:pPr>
            <w:r>
              <w:rPr>
                <w:color w:val="000000"/>
              </w:rPr>
              <w:t> </w:t>
            </w:r>
          </w:p>
        </w:tc>
      </w:tr>
      <w:tr w:rsidR="001A7AE1" w14:paraId="125C09B3" w14:textId="77777777" w:rsidTr="001A7AE1">
        <w:trPr>
          <w:trHeight w:val="340"/>
        </w:trPr>
        <w:tc>
          <w:tcPr>
            <w:tcW w:w="2118" w:type="dxa"/>
            <w:tcBorders>
              <w:top w:val="nil"/>
              <w:left w:val="single" w:sz="8" w:space="0" w:color="auto"/>
              <w:bottom w:val="nil"/>
              <w:right w:val="nil"/>
            </w:tcBorders>
            <w:shd w:val="clear" w:color="auto" w:fill="auto"/>
            <w:noWrap/>
            <w:vAlign w:val="bottom"/>
            <w:hideMark/>
          </w:tcPr>
          <w:p w14:paraId="2263CFC4" w14:textId="77777777" w:rsidR="001A7AE1" w:rsidRDefault="001A7AE1">
            <w:pPr>
              <w:rPr>
                <w:color w:val="000000"/>
              </w:rPr>
            </w:pPr>
            <w:r>
              <w:rPr>
                <w:color w:val="000000"/>
              </w:rPr>
              <w:t>GE HUMN</w:t>
            </w:r>
          </w:p>
        </w:tc>
        <w:tc>
          <w:tcPr>
            <w:tcW w:w="5889" w:type="dxa"/>
            <w:tcBorders>
              <w:top w:val="nil"/>
              <w:left w:val="nil"/>
              <w:bottom w:val="nil"/>
              <w:right w:val="nil"/>
            </w:tcBorders>
            <w:shd w:val="clear" w:color="auto" w:fill="auto"/>
            <w:vAlign w:val="bottom"/>
            <w:hideMark/>
          </w:tcPr>
          <w:p w14:paraId="6A265DF4" w14:textId="77777777" w:rsidR="001A7AE1" w:rsidRDefault="001A7AE1">
            <w:pPr>
              <w:rPr>
                <w:color w:val="000000"/>
              </w:rPr>
            </w:pPr>
            <w:r>
              <w:rPr>
                <w:color w:val="000000"/>
              </w:rPr>
              <w:t>T/RS 122: Intro Christian Theology (P)</w:t>
            </w:r>
          </w:p>
        </w:tc>
        <w:tc>
          <w:tcPr>
            <w:tcW w:w="996" w:type="dxa"/>
            <w:tcBorders>
              <w:top w:val="nil"/>
              <w:left w:val="nil"/>
              <w:bottom w:val="nil"/>
              <w:right w:val="nil"/>
            </w:tcBorders>
            <w:shd w:val="clear" w:color="auto" w:fill="auto"/>
            <w:noWrap/>
            <w:vAlign w:val="bottom"/>
            <w:hideMark/>
          </w:tcPr>
          <w:p w14:paraId="5CEF4BFB" w14:textId="77777777" w:rsidR="001A7AE1" w:rsidRDefault="001A7AE1">
            <w:pPr>
              <w:jc w:val="center"/>
              <w:rPr>
                <w:color w:val="000000"/>
              </w:rPr>
            </w:pPr>
            <w:r>
              <w:rPr>
                <w:color w:val="000000"/>
              </w:rPr>
              <w:t>3</w:t>
            </w:r>
          </w:p>
        </w:tc>
        <w:tc>
          <w:tcPr>
            <w:tcW w:w="1037" w:type="dxa"/>
            <w:tcBorders>
              <w:top w:val="nil"/>
              <w:left w:val="nil"/>
              <w:bottom w:val="nil"/>
              <w:right w:val="single" w:sz="8" w:space="0" w:color="auto"/>
            </w:tcBorders>
            <w:shd w:val="clear" w:color="auto" w:fill="auto"/>
            <w:noWrap/>
            <w:vAlign w:val="bottom"/>
            <w:hideMark/>
          </w:tcPr>
          <w:p w14:paraId="6342BD10" w14:textId="77777777" w:rsidR="001A7AE1" w:rsidRDefault="001A7AE1">
            <w:pPr>
              <w:rPr>
                <w:color w:val="000000"/>
              </w:rPr>
            </w:pPr>
            <w:r>
              <w:rPr>
                <w:color w:val="000000"/>
              </w:rPr>
              <w:t> </w:t>
            </w:r>
          </w:p>
        </w:tc>
      </w:tr>
      <w:tr w:rsidR="001A7AE1" w14:paraId="78851121" w14:textId="77777777" w:rsidTr="001A7AE1">
        <w:trPr>
          <w:trHeight w:val="680"/>
        </w:trPr>
        <w:tc>
          <w:tcPr>
            <w:tcW w:w="2118" w:type="dxa"/>
            <w:tcBorders>
              <w:top w:val="nil"/>
              <w:left w:val="single" w:sz="8" w:space="0" w:color="auto"/>
              <w:bottom w:val="nil"/>
              <w:right w:val="nil"/>
            </w:tcBorders>
            <w:shd w:val="clear" w:color="auto" w:fill="auto"/>
            <w:noWrap/>
            <w:vAlign w:val="bottom"/>
            <w:hideMark/>
          </w:tcPr>
          <w:p w14:paraId="6FECC74E" w14:textId="77777777" w:rsidR="001A7AE1" w:rsidRDefault="001A7AE1">
            <w:pPr>
              <w:rPr>
                <w:color w:val="000000"/>
              </w:rPr>
            </w:pPr>
            <w:r>
              <w:rPr>
                <w:color w:val="000000"/>
              </w:rPr>
              <w:t>GE PHIL</w:t>
            </w:r>
          </w:p>
        </w:tc>
        <w:tc>
          <w:tcPr>
            <w:tcW w:w="5889" w:type="dxa"/>
            <w:tcBorders>
              <w:top w:val="nil"/>
              <w:left w:val="nil"/>
              <w:bottom w:val="nil"/>
              <w:right w:val="nil"/>
            </w:tcBorders>
            <w:shd w:val="clear" w:color="auto" w:fill="auto"/>
            <w:vAlign w:val="bottom"/>
            <w:hideMark/>
          </w:tcPr>
          <w:p w14:paraId="69A6ECC6" w14:textId="77777777" w:rsidR="001A7AE1" w:rsidRDefault="001A7AE1">
            <w:pPr>
              <w:rPr>
                <w:color w:val="000000"/>
              </w:rPr>
            </w:pPr>
            <w:r>
              <w:rPr>
                <w:color w:val="000000"/>
              </w:rPr>
              <w:t>PHIL 120: Intro to Philosophy (P) / PHIL 210: Ethics</w:t>
            </w:r>
          </w:p>
        </w:tc>
        <w:tc>
          <w:tcPr>
            <w:tcW w:w="996" w:type="dxa"/>
            <w:tcBorders>
              <w:top w:val="nil"/>
              <w:left w:val="nil"/>
              <w:bottom w:val="nil"/>
              <w:right w:val="nil"/>
            </w:tcBorders>
            <w:shd w:val="clear" w:color="auto" w:fill="auto"/>
            <w:noWrap/>
            <w:vAlign w:val="center"/>
            <w:hideMark/>
          </w:tcPr>
          <w:p w14:paraId="43D6686F" w14:textId="77777777" w:rsidR="001A7AE1" w:rsidRDefault="001A7AE1">
            <w:pPr>
              <w:jc w:val="center"/>
              <w:rPr>
                <w:color w:val="000000"/>
              </w:rPr>
            </w:pPr>
            <w:r>
              <w:rPr>
                <w:color w:val="000000"/>
              </w:rPr>
              <w:t>3</w:t>
            </w:r>
          </w:p>
        </w:tc>
        <w:tc>
          <w:tcPr>
            <w:tcW w:w="1037" w:type="dxa"/>
            <w:tcBorders>
              <w:top w:val="nil"/>
              <w:left w:val="nil"/>
              <w:bottom w:val="nil"/>
              <w:right w:val="single" w:sz="8" w:space="0" w:color="auto"/>
            </w:tcBorders>
            <w:shd w:val="clear" w:color="auto" w:fill="auto"/>
            <w:noWrap/>
            <w:vAlign w:val="center"/>
            <w:hideMark/>
          </w:tcPr>
          <w:p w14:paraId="13713182" w14:textId="77777777" w:rsidR="001A7AE1" w:rsidRDefault="001A7AE1">
            <w:pPr>
              <w:jc w:val="center"/>
              <w:rPr>
                <w:color w:val="000000"/>
              </w:rPr>
            </w:pPr>
            <w:r>
              <w:rPr>
                <w:color w:val="000000"/>
              </w:rPr>
              <w:t>3</w:t>
            </w:r>
          </w:p>
        </w:tc>
      </w:tr>
      <w:tr w:rsidR="001A7AE1" w14:paraId="43E7E9E3" w14:textId="77777777" w:rsidTr="001A7AE1">
        <w:trPr>
          <w:trHeight w:val="320"/>
        </w:trPr>
        <w:tc>
          <w:tcPr>
            <w:tcW w:w="2118" w:type="dxa"/>
            <w:tcBorders>
              <w:top w:val="nil"/>
              <w:left w:val="single" w:sz="8" w:space="0" w:color="auto"/>
              <w:bottom w:val="nil"/>
              <w:right w:val="nil"/>
            </w:tcBorders>
            <w:shd w:val="clear" w:color="auto" w:fill="auto"/>
            <w:noWrap/>
            <w:vAlign w:val="center"/>
            <w:hideMark/>
          </w:tcPr>
          <w:p w14:paraId="23EF1514" w14:textId="77777777" w:rsidR="001A7AE1" w:rsidRDefault="001A7AE1">
            <w:pPr>
              <w:rPr>
                <w:color w:val="000000"/>
              </w:rPr>
            </w:pPr>
            <w:r>
              <w:rPr>
                <w:color w:val="000000"/>
              </w:rPr>
              <w:t>GE ELECT</w:t>
            </w:r>
          </w:p>
        </w:tc>
        <w:tc>
          <w:tcPr>
            <w:tcW w:w="5889" w:type="dxa"/>
            <w:tcBorders>
              <w:top w:val="nil"/>
              <w:left w:val="nil"/>
              <w:bottom w:val="nil"/>
              <w:right w:val="nil"/>
            </w:tcBorders>
            <w:shd w:val="clear" w:color="auto" w:fill="auto"/>
            <w:noWrap/>
            <w:vAlign w:val="bottom"/>
            <w:hideMark/>
          </w:tcPr>
          <w:p w14:paraId="26085DEF" w14:textId="77777777" w:rsidR="001A7AE1" w:rsidRDefault="001A7AE1">
            <w:pPr>
              <w:rPr>
                <w:color w:val="000000"/>
              </w:rPr>
            </w:pPr>
            <w:r>
              <w:rPr>
                <w:color w:val="000000"/>
              </w:rPr>
              <w:t>SPAN 315: Spanish for the Health Professions</w:t>
            </w:r>
          </w:p>
        </w:tc>
        <w:tc>
          <w:tcPr>
            <w:tcW w:w="996" w:type="dxa"/>
            <w:tcBorders>
              <w:top w:val="nil"/>
              <w:left w:val="nil"/>
              <w:bottom w:val="nil"/>
              <w:right w:val="nil"/>
            </w:tcBorders>
            <w:shd w:val="clear" w:color="auto" w:fill="auto"/>
            <w:noWrap/>
            <w:vAlign w:val="center"/>
            <w:hideMark/>
          </w:tcPr>
          <w:p w14:paraId="2A08601C" w14:textId="77777777" w:rsidR="001A7AE1" w:rsidRDefault="001A7AE1">
            <w:pPr>
              <w:rPr>
                <w:color w:val="000000"/>
              </w:rPr>
            </w:pPr>
          </w:p>
        </w:tc>
        <w:tc>
          <w:tcPr>
            <w:tcW w:w="1037" w:type="dxa"/>
            <w:tcBorders>
              <w:top w:val="nil"/>
              <w:left w:val="nil"/>
              <w:bottom w:val="nil"/>
              <w:right w:val="single" w:sz="8" w:space="0" w:color="auto"/>
            </w:tcBorders>
            <w:shd w:val="clear" w:color="auto" w:fill="auto"/>
            <w:noWrap/>
            <w:vAlign w:val="center"/>
            <w:hideMark/>
          </w:tcPr>
          <w:p w14:paraId="1E5BD430" w14:textId="77777777" w:rsidR="001A7AE1" w:rsidRDefault="001A7AE1">
            <w:pPr>
              <w:jc w:val="center"/>
              <w:rPr>
                <w:color w:val="000000"/>
              </w:rPr>
            </w:pPr>
            <w:r>
              <w:rPr>
                <w:color w:val="000000"/>
              </w:rPr>
              <w:t>3</w:t>
            </w:r>
          </w:p>
        </w:tc>
      </w:tr>
      <w:tr w:rsidR="001A7AE1" w14:paraId="7057D36B" w14:textId="77777777" w:rsidTr="001A7AE1">
        <w:trPr>
          <w:trHeight w:val="340"/>
        </w:trPr>
        <w:tc>
          <w:tcPr>
            <w:tcW w:w="2118" w:type="dxa"/>
            <w:tcBorders>
              <w:top w:val="nil"/>
              <w:left w:val="single" w:sz="8" w:space="0" w:color="auto"/>
              <w:bottom w:val="single" w:sz="8" w:space="0" w:color="auto"/>
              <w:right w:val="nil"/>
            </w:tcBorders>
            <w:shd w:val="clear" w:color="auto" w:fill="auto"/>
            <w:noWrap/>
            <w:vAlign w:val="bottom"/>
            <w:hideMark/>
          </w:tcPr>
          <w:p w14:paraId="33048900" w14:textId="77777777" w:rsidR="001A7AE1" w:rsidRDefault="001A7AE1">
            <w:pPr>
              <w:rPr>
                <w:color w:val="000000"/>
              </w:rPr>
            </w:pPr>
            <w:r>
              <w:rPr>
                <w:color w:val="000000"/>
              </w:rPr>
              <w:t> </w:t>
            </w:r>
          </w:p>
        </w:tc>
        <w:tc>
          <w:tcPr>
            <w:tcW w:w="5889" w:type="dxa"/>
            <w:tcBorders>
              <w:top w:val="nil"/>
              <w:left w:val="nil"/>
              <w:bottom w:val="single" w:sz="8" w:space="0" w:color="auto"/>
              <w:right w:val="nil"/>
            </w:tcBorders>
            <w:shd w:val="clear" w:color="auto" w:fill="auto"/>
            <w:noWrap/>
            <w:vAlign w:val="bottom"/>
            <w:hideMark/>
          </w:tcPr>
          <w:p w14:paraId="50088F2E" w14:textId="77777777" w:rsidR="001A7AE1" w:rsidRDefault="001A7AE1">
            <w:pPr>
              <w:rPr>
                <w:color w:val="000000"/>
              </w:rPr>
            </w:pPr>
            <w:r>
              <w:rPr>
                <w:color w:val="000000"/>
              </w:rPr>
              <w:t> </w:t>
            </w:r>
          </w:p>
        </w:tc>
        <w:tc>
          <w:tcPr>
            <w:tcW w:w="996" w:type="dxa"/>
            <w:tcBorders>
              <w:top w:val="nil"/>
              <w:left w:val="nil"/>
              <w:bottom w:val="single" w:sz="8" w:space="0" w:color="auto"/>
              <w:right w:val="nil"/>
            </w:tcBorders>
            <w:shd w:val="clear" w:color="auto" w:fill="auto"/>
            <w:noWrap/>
            <w:vAlign w:val="bottom"/>
            <w:hideMark/>
          </w:tcPr>
          <w:p w14:paraId="7369AACE" w14:textId="77777777" w:rsidR="001A7AE1" w:rsidRDefault="001A7AE1">
            <w:pPr>
              <w:jc w:val="center"/>
              <w:rPr>
                <w:color w:val="000000"/>
              </w:rPr>
            </w:pPr>
            <w:r>
              <w:rPr>
                <w:color w:val="000000"/>
              </w:rPr>
              <w:t>17.5</w:t>
            </w:r>
          </w:p>
        </w:tc>
        <w:tc>
          <w:tcPr>
            <w:tcW w:w="1037" w:type="dxa"/>
            <w:tcBorders>
              <w:top w:val="nil"/>
              <w:left w:val="nil"/>
              <w:bottom w:val="single" w:sz="8" w:space="0" w:color="auto"/>
              <w:right w:val="single" w:sz="8" w:space="0" w:color="auto"/>
            </w:tcBorders>
            <w:shd w:val="clear" w:color="auto" w:fill="auto"/>
            <w:noWrap/>
            <w:vAlign w:val="bottom"/>
            <w:hideMark/>
          </w:tcPr>
          <w:p w14:paraId="37CA8B89" w14:textId="77777777" w:rsidR="001A7AE1" w:rsidRDefault="001A7AE1">
            <w:pPr>
              <w:jc w:val="right"/>
              <w:rPr>
                <w:color w:val="000000"/>
              </w:rPr>
            </w:pPr>
            <w:r>
              <w:rPr>
                <w:color w:val="000000"/>
              </w:rPr>
              <w:t>15</w:t>
            </w:r>
          </w:p>
        </w:tc>
      </w:tr>
      <w:tr w:rsidR="001A7AE1" w14:paraId="02ED14C5" w14:textId="77777777" w:rsidTr="001A7AE1">
        <w:trPr>
          <w:trHeight w:val="400"/>
        </w:trPr>
        <w:tc>
          <w:tcPr>
            <w:tcW w:w="8007" w:type="dxa"/>
            <w:gridSpan w:val="2"/>
            <w:tcBorders>
              <w:top w:val="single" w:sz="8" w:space="0" w:color="auto"/>
              <w:left w:val="single" w:sz="8" w:space="0" w:color="auto"/>
              <w:bottom w:val="nil"/>
              <w:right w:val="nil"/>
            </w:tcBorders>
            <w:shd w:val="clear" w:color="auto" w:fill="auto"/>
            <w:noWrap/>
            <w:vAlign w:val="bottom"/>
            <w:hideMark/>
          </w:tcPr>
          <w:p w14:paraId="7456A91A" w14:textId="77777777" w:rsidR="001A7AE1" w:rsidRDefault="001A7AE1">
            <w:pPr>
              <w:rPr>
                <w:b/>
                <w:bCs/>
                <w:color w:val="000000"/>
                <w:sz w:val="32"/>
                <w:szCs w:val="32"/>
              </w:rPr>
            </w:pPr>
            <w:r>
              <w:rPr>
                <w:b/>
                <w:bCs/>
                <w:color w:val="000000"/>
                <w:sz w:val="32"/>
                <w:szCs w:val="32"/>
              </w:rPr>
              <w:t>Fourth Year</w:t>
            </w:r>
          </w:p>
        </w:tc>
        <w:tc>
          <w:tcPr>
            <w:tcW w:w="996" w:type="dxa"/>
            <w:tcBorders>
              <w:top w:val="nil"/>
              <w:left w:val="nil"/>
              <w:bottom w:val="nil"/>
              <w:right w:val="nil"/>
            </w:tcBorders>
            <w:shd w:val="clear" w:color="auto" w:fill="auto"/>
            <w:noWrap/>
            <w:vAlign w:val="bottom"/>
            <w:hideMark/>
          </w:tcPr>
          <w:p w14:paraId="3BA246C0" w14:textId="77777777" w:rsidR="001A7AE1" w:rsidRDefault="001A7AE1">
            <w:pPr>
              <w:rPr>
                <w:color w:val="000000"/>
              </w:rPr>
            </w:pPr>
            <w:r>
              <w:rPr>
                <w:color w:val="000000"/>
              </w:rPr>
              <w:t> </w:t>
            </w:r>
          </w:p>
        </w:tc>
        <w:tc>
          <w:tcPr>
            <w:tcW w:w="1037" w:type="dxa"/>
            <w:tcBorders>
              <w:top w:val="nil"/>
              <w:left w:val="nil"/>
              <w:bottom w:val="nil"/>
              <w:right w:val="single" w:sz="8" w:space="0" w:color="auto"/>
            </w:tcBorders>
            <w:shd w:val="clear" w:color="auto" w:fill="auto"/>
            <w:noWrap/>
            <w:vAlign w:val="bottom"/>
            <w:hideMark/>
          </w:tcPr>
          <w:p w14:paraId="5B811AC6" w14:textId="77777777" w:rsidR="001A7AE1" w:rsidRDefault="001A7AE1">
            <w:pPr>
              <w:rPr>
                <w:color w:val="000000"/>
              </w:rPr>
            </w:pPr>
            <w:r>
              <w:rPr>
                <w:color w:val="000000"/>
              </w:rPr>
              <w:t> </w:t>
            </w:r>
          </w:p>
        </w:tc>
      </w:tr>
      <w:tr w:rsidR="001A7AE1" w14:paraId="36A5E36D" w14:textId="77777777" w:rsidTr="001A7AE1">
        <w:trPr>
          <w:trHeight w:val="680"/>
        </w:trPr>
        <w:tc>
          <w:tcPr>
            <w:tcW w:w="2118" w:type="dxa"/>
            <w:tcBorders>
              <w:top w:val="nil"/>
              <w:left w:val="single" w:sz="8" w:space="0" w:color="auto"/>
              <w:bottom w:val="nil"/>
              <w:right w:val="nil"/>
            </w:tcBorders>
            <w:shd w:val="clear" w:color="auto" w:fill="auto"/>
            <w:noWrap/>
            <w:vAlign w:val="bottom"/>
            <w:hideMark/>
          </w:tcPr>
          <w:p w14:paraId="5C428030" w14:textId="77777777" w:rsidR="001A7AE1" w:rsidRDefault="001A7AE1">
            <w:pPr>
              <w:rPr>
                <w:color w:val="000000"/>
              </w:rPr>
            </w:pPr>
            <w:r>
              <w:rPr>
                <w:color w:val="000000"/>
              </w:rPr>
              <w:t>Major</w:t>
            </w:r>
          </w:p>
        </w:tc>
        <w:tc>
          <w:tcPr>
            <w:tcW w:w="5889" w:type="dxa"/>
            <w:tcBorders>
              <w:top w:val="nil"/>
              <w:left w:val="nil"/>
              <w:bottom w:val="nil"/>
              <w:right w:val="nil"/>
            </w:tcBorders>
            <w:shd w:val="clear" w:color="auto" w:fill="auto"/>
            <w:vAlign w:val="bottom"/>
            <w:hideMark/>
          </w:tcPr>
          <w:p w14:paraId="7E3C9B3C" w14:textId="77777777" w:rsidR="001A7AE1" w:rsidRDefault="001A7AE1">
            <w:pPr>
              <w:rPr>
                <w:color w:val="000000"/>
              </w:rPr>
            </w:pPr>
            <w:r>
              <w:rPr>
                <w:color w:val="000000"/>
              </w:rPr>
              <w:t>BIOL 375 - Evolution (MO) / BIOL 472 - Systems Ecology (MO)</w:t>
            </w:r>
          </w:p>
        </w:tc>
        <w:tc>
          <w:tcPr>
            <w:tcW w:w="996" w:type="dxa"/>
            <w:tcBorders>
              <w:top w:val="nil"/>
              <w:left w:val="nil"/>
              <w:bottom w:val="nil"/>
              <w:right w:val="nil"/>
            </w:tcBorders>
            <w:shd w:val="clear" w:color="auto" w:fill="auto"/>
            <w:noWrap/>
            <w:vAlign w:val="center"/>
            <w:hideMark/>
          </w:tcPr>
          <w:p w14:paraId="761C4FEB" w14:textId="77777777" w:rsidR="001A7AE1" w:rsidRDefault="001A7AE1">
            <w:pPr>
              <w:jc w:val="center"/>
              <w:rPr>
                <w:color w:val="000000"/>
              </w:rPr>
            </w:pPr>
            <w:r>
              <w:rPr>
                <w:color w:val="000000"/>
              </w:rPr>
              <w:t>3</w:t>
            </w:r>
          </w:p>
        </w:tc>
        <w:tc>
          <w:tcPr>
            <w:tcW w:w="1037" w:type="dxa"/>
            <w:tcBorders>
              <w:top w:val="nil"/>
              <w:left w:val="nil"/>
              <w:bottom w:val="nil"/>
              <w:right w:val="single" w:sz="8" w:space="0" w:color="auto"/>
            </w:tcBorders>
            <w:shd w:val="clear" w:color="auto" w:fill="auto"/>
            <w:noWrap/>
            <w:vAlign w:val="center"/>
            <w:hideMark/>
          </w:tcPr>
          <w:p w14:paraId="3732E5C7" w14:textId="77777777" w:rsidR="001A7AE1" w:rsidRDefault="001A7AE1">
            <w:pPr>
              <w:jc w:val="center"/>
              <w:rPr>
                <w:color w:val="000000"/>
              </w:rPr>
            </w:pPr>
            <w:r>
              <w:rPr>
                <w:color w:val="000000"/>
              </w:rPr>
              <w:t>3</w:t>
            </w:r>
          </w:p>
        </w:tc>
      </w:tr>
      <w:tr w:rsidR="001A7AE1" w14:paraId="73F899B2" w14:textId="77777777" w:rsidTr="001A7AE1">
        <w:trPr>
          <w:trHeight w:val="340"/>
        </w:trPr>
        <w:tc>
          <w:tcPr>
            <w:tcW w:w="2118" w:type="dxa"/>
            <w:tcBorders>
              <w:top w:val="nil"/>
              <w:left w:val="single" w:sz="8" w:space="0" w:color="auto"/>
              <w:bottom w:val="nil"/>
              <w:right w:val="nil"/>
            </w:tcBorders>
            <w:shd w:val="clear" w:color="auto" w:fill="auto"/>
            <w:noWrap/>
            <w:vAlign w:val="bottom"/>
            <w:hideMark/>
          </w:tcPr>
          <w:p w14:paraId="1512A82A" w14:textId="77777777" w:rsidR="001A7AE1" w:rsidRDefault="001A7AE1">
            <w:pPr>
              <w:rPr>
                <w:color w:val="000000"/>
              </w:rPr>
            </w:pPr>
            <w:r>
              <w:rPr>
                <w:color w:val="000000"/>
              </w:rPr>
              <w:t>Major</w:t>
            </w:r>
          </w:p>
        </w:tc>
        <w:tc>
          <w:tcPr>
            <w:tcW w:w="5889" w:type="dxa"/>
            <w:tcBorders>
              <w:top w:val="nil"/>
              <w:left w:val="nil"/>
              <w:bottom w:val="nil"/>
              <w:right w:val="nil"/>
            </w:tcBorders>
            <w:shd w:val="clear" w:color="auto" w:fill="auto"/>
            <w:vAlign w:val="bottom"/>
            <w:hideMark/>
          </w:tcPr>
          <w:p w14:paraId="07CA0563" w14:textId="77777777" w:rsidR="001A7AE1" w:rsidRDefault="001A7AE1">
            <w:pPr>
              <w:rPr>
                <w:color w:val="000000"/>
              </w:rPr>
            </w:pPr>
            <w:r>
              <w:rPr>
                <w:color w:val="000000"/>
              </w:rPr>
              <w:t>BIOL 374 - (W: lab only) Vertebrate Biology</w:t>
            </w:r>
          </w:p>
        </w:tc>
        <w:tc>
          <w:tcPr>
            <w:tcW w:w="996" w:type="dxa"/>
            <w:tcBorders>
              <w:top w:val="nil"/>
              <w:left w:val="nil"/>
              <w:bottom w:val="nil"/>
              <w:right w:val="nil"/>
            </w:tcBorders>
            <w:shd w:val="clear" w:color="auto" w:fill="auto"/>
            <w:noWrap/>
            <w:vAlign w:val="center"/>
            <w:hideMark/>
          </w:tcPr>
          <w:p w14:paraId="6C3D6E4B" w14:textId="77777777" w:rsidR="001A7AE1" w:rsidRDefault="001A7AE1">
            <w:pPr>
              <w:rPr>
                <w:color w:val="000000"/>
              </w:rPr>
            </w:pPr>
          </w:p>
        </w:tc>
        <w:tc>
          <w:tcPr>
            <w:tcW w:w="1037" w:type="dxa"/>
            <w:tcBorders>
              <w:top w:val="nil"/>
              <w:left w:val="nil"/>
              <w:bottom w:val="nil"/>
              <w:right w:val="single" w:sz="8" w:space="0" w:color="auto"/>
            </w:tcBorders>
            <w:shd w:val="clear" w:color="auto" w:fill="auto"/>
            <w:noWrap/>
            <w:vAlign w:val="center"/>
            <w:hideMark/>
          </w:tcPr>
          <w:p w14:paraId="0BBD3074" w14:textId="77777777" w:rsidR="001A7AE1" w:rsidRDefault="001A7AE1">
            <w:pPr>
              <w:jc w:val="center"/>
              <w:rPr>
                <w:color w:val="000000"/>
              </w:rPr>
            </w:pPr>
            <w:r>
              <w:rPr>
                <w:color w:val="000000"/>
              </w:rPr>
              <w:t>5</w:t>
            </w:r>
          </w:p>
        </w:tc>
      </w:tr>
      <w:tr w:rsidR="001A7AE1" w14:paraId="7D9A5B9B" w14:textId="77777777" w:rsidTr="001A7AE1">
        <w:trPr>
          <w:trHeight w:val="340"/>
        </w:trPr>
        <w:tc>
          <w:tcPr>
            <w:tcW w:w="2118" w:type="dxa"/>
            <w:tcBorders>
              <w:top w:val="nil"/>
              <w:left w:val="single" w:sz="8" w:space="0" w:color="auto"/>
              <w:bottom w:val="nil"/>
              <w:right w:val="nil"/>
            </w:tcBorders>
            <w:shd w:val="clear" w:color="auto" w:fill="auto"/>
            <w:noWrap/>
            <w:vAlign w:val="bottom"/>
            <w:hideMark/>
          </w:tcPr>
          <w:p w14:paraId="232D2D6A" w14:textId="77777777" w:rsidR="001A7AE1" w:rsidRDefault="001A7AE1">
            <w:pPr>
              <w:rPr>
                <w:color w:val="000000"/>
              </w:rPr>
            </w:pPr>
            <w:r>
              <w:rPr>
                <w:color w:val="000000"/>
              </w:rPr>
              <w:t>Major</w:t>
            </w:r>
          </w:p>
        </w:tc>
        <w:tc>
          <w:tcPr>
            <w:tcW w:w="5889" w:type="dxa"/>
            <w:tcBorders>
              <w:top w:val="nil"/>
              <w:left w:val="nil"/>
              <w:bottom w:val="nil"/>
              <w:right w:val="nil"/>
            </w:tcBorders>
            <w:shd w:val="clear" w:color="auto" w:fill="auto"/>
            <w:vAlign w:val="bottom"/>
            <w:hideMark/>
          </w:tcPr>
          <w:p w14:paraId="1733F6C7" w14:textId="77777777" w:rsidR="001A7AE1" w:rsidRDefault="001A7AE1">
            <w:pPr>
              <w:rPr>
                <w:color w:val="000000"/>
              </w:rPr>
            </w:pPr>
            <w:r>
              <w:rPr>
                <w:color w:val="000000"/>
              </w:rPr>
              <w:t>BIOL 364 - Virology (MC)</w:t>
            </w:r>
          </w:p>
        </w:tc>
        <w:tc>
          <w:tcPr>
            <w:tcW w:w="996" w:type="dxa"/>
            <w:tcBorders>
              <w:top w:val="nil"/>
              <w:left w:val="nil"/>
              <w:bottom w:val="nil"/>
              <w:right w:val="nil"/>
            </w:tcBorders>
            <w:shd w:val="clear" w:color="auto" w:fill="auto"/>
            <w:noWrap/>
            <w:vAlign w:val="center"/>
            <w:hideMark/>
          </w:tcPr>
          <w:p w14:paraId="3F8EFDC5" w14:textId="77777777" w:rsidR="001A7AE1" w:rsidRDefault="001A7AE1">
            <w:pPr>
              <w:rPr>
                <w:color w:val="000000"/>
              </w:rPr>
            </w:pPr>
          </w:p>
        </w:tc>
        <w:tc>
          <w:tcPr>
            <w:tcW w:w="1037" w:type="dxa"/>
            <w:tcBorders>
              <w:top w:val="nil"/>
              <w:left w:val="nil"/>
              <w:bottom w:val="nil"/>
              <w:right w:val="single" w:sz="8" w:space="0" w:color="auto"/>
            </w:tcBorders>
            <w:shd w:val="clear" w:color="auto" w:fill="auto"/>
            <w:noWrap/>
            <w:vAlign w:val="center"/>
            <w:hideMark/>
          </w:tcPr>
          <w:p w14:paraId="6BAA415C" w14:textId="77777777" w:rsidR="001A7AE1" w:rsidRDefault="001A7AE1">
            <w:pPr>
              <w:jc w:val="center"/>
              <w:rPr>
                <w:color w:val="000000"/>
              </w:rPr>
            </w:pPr>
            <w:r>
              <w:rPr>
                <w:color w:val="000000"/>
              </w:rPr>
              <w:t>3</w:t>
            </w:r>
          </w:p>
        </w:tc>
      </w:tr>
      <w:tr w:rsidR="001A7AE1" w14:paraId="59FE5C16" w14:textId="77777777" w:rsidTr="001A7AE1">
        <w:trPr>
          <w:trHeight w:val="320"/>
        </w:trPr>
        <w:tc>
          <w:tcPr>
            <w:tcW w:w="2118" w:type="dxa"/>
            <w:tcBorders>
              <w:top w:val="nil"/>
              <w:left w:val="single" w:sz="8" w:space="0" w:color="auto"/>
              <w:bottom w:val="nil"/>
              <w:right w:val="nil"/>
            </w:tcBorders>
            <w:shd w:val="clear" w:color="auto" w:fill="auto"/>
            <w:noWrap/>
            <w:vAlign w:val="bottom"/>
            <w:hideMark/>
          </w:tcPr>
          <w:p w14:paraId="25B94CCF" w14:textId="77777777" w:rsidR="001A7AE1" w:rsidRDefault="001A7AE1">
            <w:pPr>
              <w:rPr>
                <w:color w:val="000000"/>
              </w:rPr>
            </w:pPr>
            <w:r>
              <w:rPr>
                <w:color w:val="000000"/>
              </w:rPr>
              <w:t>Major</w:t>
            </w:r>
          </w:p>
        </w:tc>
        <w:tc>
          <w:tcPr>
            <w:tcW w:w="5889" w:type="dxa"/>
            <w:tcBorders>
              <w:top w:val="nil"/>
              <w:left w:val="nil"/>
              <w:bottom w:val="nil"/>
              <w:right w:val="nil"/>
            </w:tcBorders>
            <w:shd w:val="clear" w:color="auto" w:fill="auto"/>
            <w:noWrap/>
            <w:vAlign w:val="bottom"/>
            <w:hideMark/>
          </w:tcPr>
          <w:p w14:paraId="50C472A5" w14:textId="77777777" w:rsidR="001A7AE1" w:rsidRDefault="001A7AE1">
            <w:pPr>
              <w:rPr>
                <w:color w:val="000000"/>
              </w:rPr>
            </w:pPr>
            <w:r>
              <w:rPr>
                <w:color w:val="000000"/>
              </w:rPr>
              <w:t>BIOL 241 - Comparative Vertebrate Biology</w:t>
            </w:r>
          </w:p>
        </w:tc>
        <w:tc>
          <w:tcPr>
            <w:tcW w:w="996" w:type="dxa"/>
            <w:tcBorders>
              <w:top w:val="nil"/>
              <w:left w:val="nil"/>
              <w:bottom w:val="nil"/>
              <w:right w:val="nil"/>
            </w:tcBorders>
            <w:shd w:val="clear" w:color="auto" w:fill="auto"/>
            <w:noWrap/>
            <w:vAlign w:val="center"/>
            <w:hideMark/>
          </w:tcPr>
          <w:p w14:paraId="1B6F0ECB" w14:textId="77777777" w:rsidR="001A7AE1" w:rsidRDefault="001A7AE1">
            <w:pPr>
              <w:jc w:val="center"/>
              <w:rPr>
                <w:color w:val="000000"/>
              </w:rPr>
            </w:pPr>
            <w:r>
              <w:rPr>
                <w:color w:val="000000"/>
              </w:rPr>
              <w:t>5</w:t>
            </w:r>
          </w:p>
        </w:tc>
        <w:tc>
          <w:tcPr>
            <w:tcW w:w="1037" w:type="dxa"/>
            <w:tcBorders>
              <w:top w:val="nil"/>
              <w:left w:val="nil"/>
              <w:bottom w:val="nil"/>
              <w:right w:val="single" w:sz="8" w:space="0" w:color="auto"/>
            </w:tcBorders>
            <w:shd w:val="clear" w:color="auto" w:fill="auto"/>
            <w:noWrap/>
            <w:vAlign w:val="center"/>
            <w:hideMark/>
          </w:tcPr>
          <w:p w14:paraId="0E9735F9" w14:textId="77777777" w:rsidR="001A7AE1" w:rsidRDefault="001A7AE1">
            <w:pPr>
              <w:jc w:val="center"/>
              <w:rPr>
                <w:color w:val="000000"/>
              </w:rPr>
            </w:pPr>
            <w:r>
              <w:rPr>
                <w:color w:val="000000"/>
              </w:rPr>
              <w:t> </w:t>
            </w:r>
          </w:p>
        </w:tc>
      </w:tr>
      <w:tr w:rsidR="001A7AE1" w14:paraId="5544EC3A" w14:textId="77777777" w:rsidTr="001A7AE1">
        <w:trPr>
          <w:trHeight w:val="320"/>
        </w:trPr>
        <w:tc>
          <w:tcPr>
            <w:tcW w:w="2118" w:type="dxa"/>
            <w:tcBorders>
              <w:top w:val="nil"/>
              <w:left w:val="single" w:sz="8" w:space="0" w:color="auto"/>
              <w:bottom w:val="nil"/>
              <w:right w:val="nil"/>
            </w:tcBorders>
            <w:shd w:val="clear" w:color="auto" w:fill="auto"/>
            <w:noWrap/>
            <w:vAlign w:val="bottom"/>
            <w:hideMark/>
          </w:tcPr>
          <w:p w14:paraId="0E1F8E8A" w14:textId="77777777" w:rsidR="001A7AE1" w:rsidRDefault="001A7AE1">
            <w:pPr>
              <w:rPr>
                <w:color w:val="000000"/>
              </w:rPr>
            </w:pPr>
            <w:r>
              <w:rPr>
                <w:color w:val="000000"/>
              </w:rPr>
              <w:t>Major</w:t>
            </w:r>
          </w:p>
        </w:tc>
        <w:tc>
          <w:tcPr>
            <w:tcW w:w="5889" w:type="dxa"/>
            <w:tcBorders>
              <w:top w:val="nil"/>
              <w:left w:val="nil"/>
              <w:bottom w:val="nil"/>
              <w:right w:val="nil"/>
            </w:tcBorders>
            <w:shd w:val="clear" w:color="auto" w:fill="auto"/>
            <w:noWrap/>
            <w:vAlign w:val="bottom"/>
            <w:hideMark/>
          </w:tcPr>
          <w:p w14:paraId="6BABEFBD" w14:textId="77777777" w:rsidR="001A7AE1" w:rsidRDefault="001A7AE1">
            <w:pPr>
              <w:rPr>
                <w:color w:val="000000"/>
              </w:rPr>
            </w:pPr>
            <w:r>
              <w:rPr>
                <w:color w:val="000000"/>
              </w:rPr>
              <w:t>BIOL 479 - Portfolio Completion</w:t>
            </w:r>
          </w:p>
        </w:tc>
        <w:tc>
          <w:tcPr>
            <w:tcW w:w="996" w:type="dxa"/>
            <w:tcBorders>
              <w:top w:val="nil"/>
              <w:left w:val="nil"/>
              <w:bottom w:val="nil"/>
              <w:right w:val="nil"/>
            </w:tcBorders>
            <w:shd w:val="clear" w:color="auto" w:fill="auto"/>
            <w:noWrap/>
            <w:vAlign w:val="center"/>
            <w:hideMark/>
          </w:tcPr>
          <w:p w14:paraId="3E191AEC" w14:textId="77777777" w:rsidR="001A7AE1" w:rsidRDefault="001A7AE1">
            <w:pPr>
              <w:jc w:val="center"/>
              <w:rPr>
                <w:color w:val="000000"/>
              </w:rPr>
            </w:pPr>
            <w:r>
              <w:rPr>
                <w:color w:val="000000"/>
              </w:rPr>
              <w:t>0</w:t>
            </w:r>
          </w:p>
        </w:tc>
        <w:tc>
          <w:tcPr>
            <w:tcW w:w="1037" w:type="dxa"/>
            <w:tcBorders>
              <w:top w:val="nil"/>
              <w:left w:val="nil"/>
              <w:bottom w:val="nil"/>
              <w:right w:val="single" w:sz="8" w:space="0" w:color="auto"/>
            </w:tcBorders>
            <w:shd w:val="clear" w:color="auto" w:fill="auto"/>
            <w:noWrap/>
            <w:vAlign w:val="center"/>
            <w:hideMark/>
          </w:tcPr>
          <w:p w14:paraId="642AB3E9" w14:textId="77777777" w:rsidR="001A7AE1" w:rsidRDefault="001A7AE1">
            <w:pPr>
              <w:jc w:val="center"/>
              <w:rPr>
                <w:color w:val="000000"/>
              </w:rPr>
            </w:pPr>
            <w:r>
              <w:rPr>
                <w:color w:val="000000"/>
              </w:rPr>
              <w:t> </w:t>
            </w:r>
          </w:p>
        </w:tc>
      </w:tr>
      <w:tr w:rsidR="001A7AE1" w14:paraId="34539CEB" w14:textId="77777777" w:rsidTr="001A7AE1">
        <w:trPr>
          <w:trHeight w:val="680"/>
        </w:trPr>
        <w:tc>
          <w:tcPr>
            <w:tcW w:w="2118" w:type="dxa"/>
            <w:tcBorders>
              <w:top w:val="nil"/>
              <w:left w:val="single" w:sz="8" w:space="0" w:color="auto"/>
              <w:bottom w:val="nil"/>
              <w:right w:val="nil"/>
            </w:tcBorders>
            <w:shd w:val="clear" w:color="auto" w:fill="auto"/>
            <w:noWrap/>
            <w:vAlign w:val="center"/>
            <w:hideMark/>
          </w:tcPr>
          <w:p w14:paraId="50274D34" w14:textId="77777777" w:rsidR="001A7AE1" w:rsidRDefault="001A7AE1">
            <w:pPr>
              <w:rPr>
                <w:color w:val="000000"/>
              </w:rPr>
            </w:pPr>
            <w:r>
              <w:rPr>
                <w:color w:val="000000"/>
              </w:rPr>
              <w:t>GE T/RS</w:t>
            </w:r>
          </w:p>
        </w:tc>
        <w:tc>
          <w:tcPr>
            <w:tcW w:w="5889" w:type="dxa"/>
            <w:tcBorders>
              <w:top w:val="nil"/>
              <w:left w:val="nil"/>
              <w:bottom w:val="nil"/>
              <w:right w:val="nil"/>
            </w:tcBorders>
            <w:shd w:val="clear" w:color="auto" w:fill="auto"/>
            <w:vAlign w:val="bottom"/>
            <w:hideMark/>
          </w:tcPr>
          <w:p w14:paraId="0EC99F75" w14:textId="77777777" w:rsidR="001A7AE1" w:rsidRDefault="001A7AE1">
            <w:pPr>
              <w:rPr>
                <w:color w:val="000000"/>
              </w:rPr>
            </w:pPr>
            <w:r>
              <w:rPr>
                <w:color w:val="000000"/>
              </w:rPr>
              <w:t>T/RS 226: Faith and Healing: God and Contemporary Medicine</w:t>
            </w:r>
          </w:p>
        </w:tc>
        <w:tc>
          <w:tcPr>
            <w:tcW w:w="996" w:type="dxa"/>
            <w:tcBorders>
              <w:top w:val="nil"/>
              <w:left w:val="nil"/>
              <w:bottom w:val="nil"/>
              <w:right w:val="nil"/>
            </w:tcBorders>
            <w:shd w:val="clear" w:color="auto" w:fill="auto"/>
            <w:noWrap/>
            <w:vAlign w:val="center"/>
            <w:hideMark/>
          </w:tcPr>
          <w:p w14:paraId="67F6FDA1" w14:textId="77777777" w:rsidR="001A7AE1" w:rsidRDefault="001A7AE1">
            <w:pPr>
              <w:jc w:val="center"/>
              <w:rPr>
                <w:color w:val="000000"/>
              </w:rPr>
            </w:pPr>
            <w:r>
              <w:rPr>
                <w:color w:val="000000"/>
              </w:rPr>
              <w:t>3</w:t>
            </w:r>
          </w:p>
        </w:tc>
        <w:tc>
          <w:tcPr>
            <w:tcW w:w="1037" w:type="dxa"/>
            <w:tcBorders>
              <w:top w:val="nil"/>
              <w:left w:val="nil"/>
              <w:bottom w:val="nil"/>
              <w:right w:val="single" w:sz="8" w:space="0" w:color="auto"/>
            </w:tcBorders>
            <w:shd w:val="clear" w:color="auto" w:fill="auto"/>
            <w:noWrap/>
            <w:vAlign w:val="center"/>
            <w:hideMark/>
          </w:tcPr>
          <w:p w14:paraId="096CF730" w14:textId="77777777" w:rsidR="001A7AE1" w:rsidRDefault="001A7AE1">
            <w:pPr>
              <w:jc w:val="center"/>
              <w:rPr>
                <w:color w:val="000000"/>
              </w:rPr>
            </w:pPr>
            <w:r>
              <w:rPr>
                <w:color w:val="000000"/>
              </w:rPr>
              <w:t> </w:t>
            </w:r>
          </w:p>
        </w:tc>
      </w:tr>
      <w:tr w:rsidR="001A7AE1" w14:paraId="03486475" w14:textId="77777777" w:rsidTr="001A7AE1">
        <w:trPr>
          <w:trHeight w:val="320"/>
        </w:trPr>
        <w:tc>
          <w:tcPr>
            <w:tcW w:w="2118" w:type="dxa"/>
            <w:tcBorders>
              <w:top w:val="nil"/>
              <w:left w:val="single" w:sz="8" w:space="0" w:color="auto"/>
              <w:bottom w:val="nil"/>
              <w:right w:val="nil"/>
            </w:tcBorders>
            <w:shd w:val="clear" w:color="auto" w:fill="auto"/>
            <w:noWrap/>
            <w:vAlign w:val="bottom"/>
            <w:hideMark/>
          </w:tcPr>
          <w:p w14:paraId="06B7AADB" w14:textId="77777777" w:rsidR="001A7AE1" w:rsidRDefault="001A7AE1">
            <w:pPr>
              <w:rPr>
                <w:color w:val="000000"/>
              </w:rPr>
            </w:pPr>
            <w:r>
              <w:rPr>
                <w:color w:val="000000"/>
              </w:rPr>
              <w:t>GE HUMN</w:t>
            </w:r>
          </w:p>
        </w:tc>
        <w:tc>
          <w:tcPr>
            <w:tcW w:w="5889" w:type="dxa"/>
            <w:tcBorders>
              <w:top w:val="nil"/>
              <w:left w:val="nil"/>
              <w:bottom w:val="nil"/>
              <w:right w:val="nil"/>
            </w:tcBorders>
            <w:shd w:val="clear" w:color="auto" w:fill="auto"/>
            <w:noWrap/>
            <w:vAlign w:val="center"/>
            <w:hideMark/>
          </w:tcPr>
          <w:p w14:paraId="4F2251F9" w14:textId="06C7E0CF" w:rsidR="001A7AE1" w:rsidRDefault="001A7AE1">
            <w:pPr>
              <w:rPr>
                <w:color w:val="000000"/>
              </w:rPr>
            </w:pPr>
            <w:r>
              <w:rPr>
                <w:color w:val="000000"/>
              </w:rPr>
              <w:t>SPAN 3</w:t>
            </w:r>
            <w:r w:rsidR="00D36F70">
              <w:rPr>
                <w:color w:val="000000"/>
              </w:rPr>
              <w:t>24</w:t>
            </w:r>
            <w:r>
              <w:rPr>
                <w:color w:val="000000"/>
              </w:rPr>
              <w:t xml:space="preserve">: </w:t>
            </w:r>
            <w:r w:rsidR="00D36F70">
              <w:rPr>
                <w:color w:val="000000"/>
              </w:rPr>
              <w:t>Latin American Fictions of the Body</w:t>
            </w:r>
          </w:p>
        </w:tc>
        <w:tc>
          <w:tcPr>
            <w:tcW w:w="996" w:type="dxa"/>
            <w:tcBorders>
              <w:top w:val="nil"/>
              <w:left w:val="nil"/>
              <w:bottom w:val="nil"/>
              <w:right w:val="nil"/>
            </w:tcBorders>
            <w:shd w:val="clear" w:color="auto" w:fill="auto"/>
            <w:noWrap/>
            <w:vAlign w:val="center"/>
            <w:hideMark/>
          </w:tcPr>
          <w:p w14:paraId="72AFA30F" w14:textId="10FCF5AB" w:rsidR="001A7AE1" w:rsidRDefault="00487FC9">
            <w:pPr>
              <w:rPr>
                <w:color w:val="000000"/>
              </w:rPr>
            </w:pPr>
            <w:r>
              <w:rPr>
                <w:color w:val="000000"/>
              </w:rPr>
              <w:t xml:space="preserve">  </w:t>
            </w:r>
            <w:r w:rsidR="00D36F70">
              <w:rPr>
                <w:color w:val="000000"/>
              </w:rPr>
              <w:t xml:space="preserve"> </w:t>
            </w:r>
          </w:p>
        </w:tc>
        <w:tc>
          <w:tcPr>
            <w:tcW w:w="1037" w:type="dxa"/>
            <w:tcBorders>
              <w:top w:val="nil"/>
              <w:left w:val="nil"/>
              <w:bottom w:val="nil"/>
              <w:right w:val="single" w:sz="8" w:space="0" w:color="auto"/>
            </w:tcBorders>
            <w:shd w:val="clear" w:color="auto" w:fill="auto"/>
            <w:noWrap/>
            <w:vAlign w:val="center"/>
            <w:hideMark/>
          </w:tcPr>
          <w:p w14:paraId="570F5BFA" w14:textId="52D7B7E4" w:rsidR="001A7AE1" w:rsidRDefault="001C131C">
            <w:pPr>
              <w:jc w:val="center"/>
              <w:rPr>
                <w:color w:val="000000"/>
              </w:rPr>
            </w:pPr>
            <w:r>
              <w:rPr>
                <w:color w:val="000000"/>
              </w:rPr>
              <w:t>3</w:t>
            </w:r>
          </w:p>
        </w:tc>
      </w:tr>
      <w:tr w:rsidR="001A7AE1" w14:paraId="45B3E5A8" w14:textId="77777777" w:rsidTr="001A7AE1">
        <w:trPr>
          <w:trHeight w:val="320"/>
        </w:trPr>
        <w:tc>
          <w:tcPr>
            <w:tcW w:w="2118" w:type="dxa"/>
            <w:tcBorders>
              <w:top w:val="nil"/>
              <w:left w:val="single" w:sz="8" w:space="0" w:color="auto"/>
              <w:bottom w:val="nil"/>
              <w:right w:val="nil"/>
            </w:tcBorders>
            <w:shd w:val="clear" w:color="auto" w:fill="auto"/>
            <w:noWrap/>
            <w:vAlign w:val="bottom"/>
            <w:hideMark/>
          </w:tcPr>
          <w:p w14:paraId="0B429FCB" w14:textId="77777777" w:rsidR="001A7AE1" w:rsidRPr="00CA0366" w:rsidRDefault="001A7AE1">
            <w:pPr>
              <w:rPr>
                <w:color w:val="000000"/>
              </w:rPr>
            </w:pPr>
            <w:r w:rsidRPr="00CA0366">
              <w:rPr>
                <w:color w:val="000000"/>
              </w:rPr>
              <w:t>GE ELECT</w:t>
            </w:r>
          </w:p>
        </w:tc>
        <w:tc>
          <w:tcPr>
            <w:tcW w:w="5889" w:type="dxa"/>
            <w:tcBorders>
              <w:top w:val="nil"/>
              <w:left w:val="nil"/>
              <w:bottom w:val="nil"/>
              <w:right w:val="nil"/>
            </w:tcBorders>
            <w:shd w:val="clear" w:color="auto" w:fill="auto"/>
            <w:noWrap/>
            <w:vAlign w:val="center"/>
            <w:hideMark/>
          </w:tcPr>
          <w:p w14:paraId="15F8E693" w14:textId="38DC1C34" w:rsidR="001A7AE1" w:rsidRPr="00CA0366" w:rsidRDefault="008B42A0">
            <w:pPr>
              <w:rPr>
                <w:color w:val="000000"/>
              </w:rPr>
            </w:pPr>
            <w:r w:rsidRPr="00CA0366">
              <w:rPr>
                <w:color w:val="000000"/>
              </w:rPr>
              <w:t>ENLT 2</w:t>
            </w:r>
            <w:r w:rsidR="001C131C">
              <w:rPr>
                <w:color w:val="000000"/>
              </w:rPr>
              <w:t>2</w:t>
            </w:r>
            <w:r w:rsidRPr="00CA0366">
              <w:rPr>
                <w:color w:val="000000"/>
              </w:rPr>
              <w:t>4</w:t>
            </w:r>
            <w:r w:rsidR="00C20CE1" w:rsidRPr="00CA0366">
              <w:rPr>
                <w:color w:val="000000"/>
              </w:rPr>
              <w:t xml:space="preserve">: </w:t>
            </w:r>
            <w:r w:rsidR="001C131C">
              <w:rPr>
                <w:color w:val="000000"/>
              </w:rPr>
              <w:t>Perspectives in Literature about Illness</w:t>
            </w:r>
          </w:p>
        </w:tc>
        <w:tc>
          <w:tcPr>
            <w:tcW w:w="996" w:type="dxa"/>
            <w:tcBorders>
              <w:top w:val="nil"/>
              <w:left w:val="nil"/>
              <w:bottom w:val="nil"/>
              <w:right w:val="nil"/>
            </w:tcBorders>
            <w:shd w:val="clear" w:color="auto" w:fill="auto"/>
            <w:noWrap/>
            <w:vAlign w:val="center"/>
            <w:hideMark/>
          </w:tcPr>
          <w:p w14:paraId="08B245E0" w14:textId="38B698B2" w:rsidR="001A7AE1" w:rsidRDefault="001C131C">
            <w:pPr>
              <w:jc w:val="center"/>
              <w:rPr>
                <w:color w:val="000000"/>
              </w:rPr>
            </w:pPr>
            <w:r>
              <w:rPr>
                <w:color w:val="000000"/>
              </w:rPr>
              <w:t>3</w:t>
            </w:r>
          </w:p>
        </w:tc>
        <w:tc>
          <w:tcPr>
            <w:tcW w:w="1037" w:type="dxa"/>
            <w:tcBorders>
              <w:top w:val="nil"/>
              <w:left w:val="nil"/>
              <w:bottom w:val="nil"/>
              <w:right w:val="single" w:sz="8" w:space="0" w:color="auto"/>
            </w:tcBorders>
            <w:shd w:val="clear" w:color="auto" w:fill="auto"/>
            <w:noWrap/>
            <w:vAlign w:val="center"/>
            <w:hideMark/>
          </w:tcPr>
          <w:p w14:paraId="3A2F5A9C" w14:textId="5369538C" w:rsidR="001A7AE1" w:rsidRDefault="001A7AE1">
            <w:pPr>
              <w:jc w:val="center"/>
              <w:rPr>
                <w:color w:val="000000"/>
              </w:rPr>
            </w:pPr>
          </w:p>
        </w:tc>
      </w:tr>
      <w:tr w:rsidR="001A7AE1" w14:paraId="26CAD70C" w14:textId="77777777" w:rsidTr="001A7AE1">
        <w:trPr>
          <w:trHeight w:val="320"/>
        </w:trPr>
        <w:tc>
          <w:tcPr>
            <w:tcW w:w="2118" w:type="dxa"/>
            <w:tcBorders>
              <w:top w:val="nil"/>
              <w:left w:val="single" w:sz="8" w:space="0" w:color="auto"/>
              <w:bottom w:val="nil"/>
              <w:right w:val="nil"/>
            </w:tcBorders>
            <w:shd w:val="clear" w:color="auto" w:fill="auto"/>
            <w:noWrap/>
            <w:vAlign w:val="bottom"/>
            <w:hideMark/>
          </w:tcPr>
          <w:p w14:paraId="217E2B0F" w14:textId="1D61866C" w:rsidR="001A7AE1" w:rsidRDefault="001A7AE1">
            <w:pPr>
              <w:rPr>
                <w:color w:val="000000"/>
              </w:rPr>
            </w:pPr>
            <w:r>
              <w:rPr>
                <w:color w:val="000000"/>
              </w:rPr>
              <w:t>Concentration</w:t>
            </w:r>
          </w:p>
        </w:tc>
        <w:tc>
          <w:tcPr>
            <w:tcW w:w="5889" w:type="dxa"/>
            <w:tcBorders>
              <w:top w:val="nil"/>
              <w:left w:val="nil"/>
              <w:bottom w:val="nil"/>
              <w:right w:val="nil"/>
            </w:tcBorders>
            <w:shd w:val="clear" w:color="auto" w:fill="auto"/>
            <w:noWrap/>
            <w:vAlign w:val="bottom"/>
            <w:hideMark/>
          </w:tcPr>
          <w:p w14:paraId="0046ADCD" w14:textId="77777777" w:rsidR="001A7AE1" w:rsidRDefault="001A7AE1">
            <w:pPr>
              <w:rPr>
                <w:color w:val="000000"/>
              </w:rPr>
            </w:pPr>
            <w:r>
              <w:rPr>
                <w:color w:val="000000"/>
              </w:rPr>
              <w:t>Health Humanities - Portfolio Completion</w:t>
            </w:r>
          </w:p>
        </w:tc>
        <w:tc>
          <w:tcPr>
            <w:tcW w:w="996" w:type="dxa"/>
            <w:tcBorders>
              <w:top w:val="nil"/>
              <w:left w:val="nil"/>
              <w:bottom w:val="nil"/>
              <w:right w:val="nil"/>
            </w:tcBorders>
            <w:shd w:val="clear" w:color="auto" w:fill="auto"/>
            <w:noWrap/>
            <w:vAlign w:val="center"/>
            <w:hideMark/>
          </w:tcPr>
          <w:p w14:paraId="328652A9" w14:textId="77777777" w:rsidR="001A7AE1" w:rsidRDefault="001A7AE1">
            <w:pPr>
              <w:rPr>
                <w:color w:val="000000"/>
              </w:rPr>
            </w:pPr>
          </w:p>
        </w:tc>
        <w:tc>
          <w:tcPr>
            <w:tcW w:w="1037" w:type="dxa"/>
            <w:tcBorders>
              <w:top w:val="nil"/>
              <w:left w:val="nil"/>
              <w:bottom w:val="nil"/>
              <w:right w:val="single" w:sz="8" w:space="0" w:color="auto"/>
            </w:tcBorders>
            <w:shd w:val="clear" w:color="auto" w:fill="auto"/>
            <w:noWrap/>
            <w:vAlign w:val="center"/>
            <w:hideMark/>
          </w:tcPr>
          <w:p w14:paraId="661DF848" w14:textId="77777777" w:rsidR="001A7AE1" w:rsidRDefault="001A7AE1">
            <w:pPr>
              <w:jc w:val="center"/>
              <w:rPr>
                <w:color w:val="000000"/>
              </w:rPr>
            </w:pPr>
            <w:r>
              <w:rPr>
                <w:color w:val="000000"/>
              </w:rPr>
              <w:t>0</w:t>
            </w:r>
          </w:p>
        </w:tc>
      </w:tr>
      <w:tr w:rsidR="001A7AE1" w14:paraId="47A19D4E" w14:textId="77777777" w:rsidTr="001A7AE1">
        <w:trPr>
          <w:trHeight w:val="340"/>
        </w:trPr>
        <w:tc>
          <w:tcPr>
            <w:tcW w:w="2118" w:type="dxa"/>
            <w:tcBorders>
              <w:top w:val="nil"/>
              <w:left w:val="single" w:sz="8" w:space="0" w:color="auto"/>
              <w:bottom w:val="single" w:sz="8" w:space="0" w:color="auto"/>
              <w:right w:val="nil"/>
            </w:tcBorders>
            <w:shd w:val="clear" w:color="auto" w:fill="auto"/>
            <w:noWrap/>
            <w:vAlign w:val="bottom"/>
            <w:hideMark/>
          </w:tcPr>
          <w:p w14:paraId="4EA8A89F" w14:textId="7FF0FC62" w:rsidR="001A7AE1" w:rsidRDefault="001A7AE1">
            <w:pPr>
              <w:rPr>
                <w:rFonts w:ascii="Calibri" w:hAnsi="Calibri" w:cs="Calibri"/>
                <w:color w:val="000000"/>
              </w:rPr>
            </w:pPr>
            <w:r>
              <w:rPr>
                <w:rFonts w:ascii="Calibri" w:hAnsi="Calibri" w:cs="Calibri"/>
                <w:color w:val="000000"/>
              </w:rPr>
              <w:t> </w:t>
            </w:r>
          </w:p>
        </w:tc>
        <w:tc>
          <w:tcPr>
            <w:tcW w:w="5889" w:type="dxa"/>
            <w:tcBorders>
              <w:top w:val="nil"/>
              <w:left w:val="nil"/>
              <w:bottom w:val="single" w:sz="8" w:space="0" w:color="auto"/>
              <w:right w:val="nil"/>
            </w:tcBorders>
            <w:shd w:val="clear" w:color="auto" w:fill="auto"/>
            <w:noWrap/>
            <w:vAlign w:val="bottom"/>
            <w:hideMark/>
          </w:tcPr>
          <w:p w14:paraId="3759BD9E" w14:textId="77777777" w:rsidR="001A7AE1" w:rsidRDefault="001A7AE1">
            <w:pPr>
              <w:rPr>
                <w:rFonts w:ascii="Calibri" w:hAnsi="Calibri" w:cs="Calibri"/>
                <w:color w:val="000000"/>
              </w:rPr>
            </w:pPr>
            <w:r>
              <w:rPr>
                <w:rFonts w:ascii="Calibri" w:hAnsi="Calibri" w:cs="Calibri"/>
                <w:color w:val="000000"/>
              </w:rPr>
              <w:t> </w:t>
            </w:r>
          </w:p>
        </w:tc>
        <w:tc>
          <w:tcPr>
            <w:tcW w:w="996" w:type="dxa"/>
            <w:tcBorders>
              <w:top w:val="nil"/>
              <w:left w:val="nil"/>
              <w:bottom w:val="single" w:sz="8" w:space="0" w:color="auto"/>
              <w:right w:val="nil"/>
            </w:tcBorders>
            <w:shd w:val="clear" w:color="auto" w:fill="auto"/>
            <w:noWrap/>
            <w:vAlign w:val="center"/>
            <w:hideMark/>
          </w:tcPr>
          <w:p w14:paraId="08CC38C8" w14:textId="77777777" w:rsidR="001A7AE1" w:rsidRDefault="001A7AE1">
            <w:pPr>
              <w:jc w:val="center"/>
              <w:rPr>
                <w:b/>
                <w:bCs/>
                <w:color w:val="000000"/>
              </w:rPr>
            </w:pPr>
            <w:r>
              <w:rPr>
                <w:b/>
                <w:bCs/>
                <w:color w:val="000000"/>
              </w:rPr>
              <w:t>14</w:t>
            </w:r>
          </w:p>
        </w:tc>
        <w:tc>
          <w:tcPr>
            <w:tcW w:w="1037" w:type="dxa"/>
            <w:tcBorders>
              <w:top w:val="nil"/>
              <w:left w:val="nil"/>
              <w:bottom w:val="single" w:sz="8" w:space="0" w:color="auto"/>
              <w:right w:val="single" w:sz="8" w:space="0" w:color="auto"/>
            </w:tcBorders>
            <w:shd w:val="clear" w:color="auto" w:fill="auto"/>
            <w:noWrap/>
            <w:vAlign w:val="center"/>
            <w:hideMark/>
          </w:tcPr>
          <w:p w14:paraId="1DAB1717" w14:textId="77777777" w:rsidR="001A7AE1" w:rsidRDefault="001A7AE1">
            <w:pPr>
              <w:jc w:val="center"/>
              <w:rPr>
                <w:color w:val="000000"/>
              </w:rPr>
            </w:pPr>
            <w:r>
              <w:rPr>
                <w:color w:val="000000"/>
              </w:rPr>
              <w:t>14</w:t>
            </w:r>
          </w:p>
        </w:tc>
      </w:tr>
      <w:tr w:rsidR="001A7AE1" w14:paraId="79D134CF" w14:textId="77777777" w:rsidTr="001A7AE1">
        <w:trPr>
          <w:trHeight w:val="340"/>
        </w:trPr>
        <w:tc>
          <w:tcPr>
            <w:tcW w:w="2118" w:type="dxa"/>
            <w:tcBorders>
              <w:top w:val="nil"/>
              <w:left w:val="single" w:sz="8" w:space="0" w:color="auto"/>
              <w:bottom w:val="single" w:sz="8" w:space="0" w:color="auto"/>
              <w:right w:val="nil"/>
            </w:tcBorders>
            <w:shd w:val="clear" w:color="auto" w:fill="auto"/>
            <w:noWrap/>
            <w:vAlign w:val="bottom"/>
            <w:hideMark/>
          </w:tcPr>
          <w:p w14:paraId="1E1C8BE9" w14:textId="4ED2DD71" w:rsidR="001A7AE1" w:rsidRDefault="001A7AE1">
            <w:pPr>
              <w:rPr>
                <w:color w:val="000000"/>
              </w:rPr>
            </w:pPr>
            <w:r>
              <w:rPr>
                <w:color w:val="000000"/>
              </w:rPr>
              <w:t> </w:t>
            </w:r>
          </w:p>
        </w:tc>
        <w:tc>
          <w:tcPr>
            <w:tcW w:w="7922"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48302390" w14:textId="1FBCB245" w:rsidR="001A7AE1" w:rsidRDefault="001A7AE1">
            <w:pPr>
              <w:jc w:val="right"/>
              <w:rPr>
                <w:color w:val="000000"/>
              </w:rPr>
            </w:pPr>
            <w:r>
              <w:rPr>
                <w:color w:val="000000"/>
              </w:rPr>
              <w:t>Total: 12</w:t>
            </w:r>
            <w:r w:rsidR="00A1315F">
              <w:rPr>
                <w:color w:val="000000"/>
              </w:rPr>
              <w:t>3</w:t>
            </w:r>
            <w:r>
              <w:rPr>
                <w:color w:val="000000"/>
              </w:rPr>
              <w:t>.5 Credits</w:t>
            </w:r>
          </w:p>
        </w:tc>
      </w:tr>
    </w:tbl>
    <w:p w14:paraId="42167B5E" w14:textId="68E4ED84" w:rsidR="00C77298" w:rsidRDefault="00C77298" w:rsidP="00554DFB">
      <w:pPr>
        <w:rPr>
          <w:color w:val="1D1C1D"/>
          <w:shd w:val="clear" w:color="auto" w:fill="FFFFFF"/>
        </w:rPr>
      </w:pPr>
    </w:p>
    <w:p w14:paraId="634410B4" w14:textId="047FA0D1" w:rsidR="001A7AE1" w:rsidRDefault="001A7AE1" w:rsidP="00554DFB">
      <w:pPr>
        <w:rPr>
          <w:color w:val="1D1C1D"/>
          <w:shd w:val="clear" w:color="auto" w:fill="FFFFFF"/>
        </w:rPr>
      </w:pPr>
      <w:r>
        <w:rPr>
          <w:color w:val="1D1C1D"/>
          <w:shd w:val="clear" w:color="auto" w:fill="FFFFFF"/>
        </w:rPr>
        <w:t>Th</w:t>
      </w:r>
      <w:r w:rsidR="00B04A11">
        <w:rPr>
          <w:color w:val="1D1C1D"/>
          <w:shd w:val="clear" w:color="auto" w:fill="FFFFFF"/>
        </w:rPr>
        <w:t>is</w:t>
      </w:r>
      <w:r>
        <w:rPr>
          <w:color w:val="1D1C1D"/>
          <w:shd w:val="clear" w:color="auto" w:fill="FFFFFF"/>
        </w:rPr>
        <w:t xml:space="preserve"> hypothetical student fits the </w:t>
      </w:r>
      <w:r w:rsidR="00004B46">
        <w:rPr>
          <w:color w:val="1D1C1D"/>
          <w:shd w:val="clear" w:color="auto" w:fill="FFFFFF"/>
        </w:rPr>
        <w:t xml:space="preserve">third </w:t>
      </w:r>
      <w:r w:rsidR="00B04A11">
        <w:rPr>
          <w:color w:val="1D1C1D"/>
          <w:shd w:val="clear" w:color="auto" w:fill="FFFFFF"/>
        </w:rPr>
        <w:t>p</w:t>
      </w:r>
      <w:r>
        <w:rPr>
          <w:color w:val="1D1C1D"/>
          <w:shd w:val="clear" w:color="auto" w:fill="FFFFFF"/>
        </w:rPr>
        <w:t>athway indicated:</w:t>
      </w:r>
    </w:p>
    <w:p w14:paraId="7E46D223" w14:textId="6D43A1EA" w:rsidR="001A7AE1" w:rsidRDefault="00076B2C" w:rsidP="00554DFB">
      <w:pPr>
        <w:rPr>
          <w:color w:val="1D1C1D"/>
          <w:shd w:val="clear" w:color="auto" w:fill="FFFFFF"/>
        </w:rPr>
      </w:pPr>
      <w:r>
        <w:rPr>
          <w:noProof/>
        </w:rPr>
        <w:lastRenderedPageBreak/>
        <w:drawing>
          <wp:inline distT="0" distB="0" distL="0" distR="0" wp14:anchorId="56A78BA9" wp14:editId="1F6E892D">
            <wp:extent cx="5612130" cy="451612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12130" cy="4516120"/>
                    </a:xfrm>
                    <a:prstGeom prst="rect">
                      <a:avLst/>
                    </a:prstGeom>
                  </pic:spPr>
                </pic:pic>
              </a:graphicData>
            </a:graphic>
          </wp:inline>
        </w:drawing>
      </w:r>
    </w:p>
    <w:p w14:paraId="15731A39" w14:textId="77777777" w:rsidR="00076B2C" w:rsidRDefault="00076B2C" w:rsidP="001A7AE1">
      <w:pPr>
        <w:rPr>
          <w:color w:val="1D1C1D"/>
          <w:highlight w:val="yellow"/>
          <w:shd w:val="clear" w:color="auto" w:fill="FFFFFF"/>
        </w:rPr>
      </w:pPr>
    </w:p>
    <w:p w14:paraId="7114FDDB" w14:textId="60270D33" w:rsidR="00F14897" w:rsidRDefault="00F14897" w:rsidP="001A7AE1">
      <w:pPr>
        <w:rPr>
          <w:color w:val="1D1C1D"/>
          <w:shd w:val="clear" w:color="auto" w:fill="FFFFFF"/>
        </w:rPr>
      </w:pPr>
      <w:r w:rsidRPr="00076B2C">
        <w:rPr>
          <w:color w:val="1D1C1D"/>
          <w:shd w:val="clear" w:color="auto" w:fill="FFFFFF"/>
        </w:rPr>
        <w:t xml:space="preserve">3 core </w:t>
      </w:r>
      <w:r w:rsidR="00076B2C" w:rsidRPr="00076B2C">
        <w:rPr>
          <w:color w:val="1D1C1D"/>
          <w:shd w:val="clear" w:color="auto" w:fill="FFFFFF"/>
        </w:rPr>
        <w:t xml:space="preserve">requirements </w:t>
      </w:r>
      <w:r w:rsidRPr="00076B2C">
        <w:rPr>
          <w:color w:val="1D1C1D"/>
          <w:shd w:val="clear" w:color="auto" w:fill="FFFFFF"/>
        </w:rPr>
        <w:t>credits (as the student has placed at the 300-level of a language</w:t>
      </w:r>
      <w:r w:rsidR="00076B2C">
        <w:rPr>
          <w:color w:val="1D1C1D"/>
          <w:shd w:val="clear" w:color="auto" w:fill="FFFFFF"/>
        </w:rPr>
        <w:t xml:space="preserve"> and does not need to apply 3 credits in a world language</w:t>
      </w:r>
      <w:r>
        <w:rPr>
          <w:color w:val="1D1C1D"/>
          <w:shd w:val="clear" w:color="auto" w:fill="FFFFFF"/>
        </w:rPr>
        <w:t>) = ENLT 2</w:t>
      </w:r>
      <w:r w:rsidR="00076B2C">
        <w:rPr>
          <w:color w:val="1D1C1D"/>
          <w:shd w:val="clear" w:color="auto" w:fill="FFFFFF"/>
        </w:rPr>
        <w:t>2</w:t>
      </w:r>
      <w:r>
        <w:rPr>
          <w:color w:val="1D1C1D"/>
          <w:shd w:val="clear" w:color="auto" w:fill="FFFFFF"/>
        </w:rPr>
        <w:t>4</w:t>
      </w:r>
    </w:p>
    <w:p w14:paraId="529A2247" w14:textId="77777777" w:rsidR="00F14897" w:rsidRDefault="00F14897" w:rsidP="001A7AE1">
      <w:pPr>
        <w:rPr>
          <w:color w:val="1D1C1D"/>
          <w:shd w:val="clear" w:color="auto" w:fill="FFFFFF"/>
        </w:rPr>
      </w:pPr>
    </w:p>
    <w:p w14:paraId="73953ECF" w14:textId="25CDE4D3" w:rsidR="001A7AE1" w:rsidRPr="00DE3226" w:rsidRDefault="00F14897" w:rsidP="001A7AE1">
      <w:pPr>
        <w:rPr>
          <w:color w:val="000000"/>
          <w:shd w:val="clear" w:color="auto" w:fill="FFFFFF"/>
        </w:rPr>
      </w:pPr>
      <w:r>
        <w:rPr>
          <w:color w:val="1D1C1D"/>
          <w:shd w:val="clear" w:color="auto" w:fill="FFFFFF"/>
        </w:rPr>
        <w:t>9</w:t>
      </w:r>
      <w:r w:rsidR="001A7AE1">
        <w:rPr>
          <w:color w:val="1D1C1D"/>
          <w:shd w:val="clear" w:color="auto" w:fill="FFFFFF"/>
        </w:rPr>
        <w:t xml:space="preserve"> </w:t>
      </w:r>
      <w:r>
        <w:rPr>
          <w:color w:val="1D1C1D"/>
          <w:shd w:val="clear" w:color="auto" w:fill="FFFFFF"/>
        </w:rPr>
        <w:t>humanities elective</w:t>
      </w:r>
      <w:r w:rsidR="000A76CB">
        <w:rPr>
          <w:color w:val="1D1C1D"/>
          <w:shd w:val="clear" w:color="auto" w:fill="FFFFFF"/>
        </w:rPr>
        <w:t xml:space="preserve"> credits (as the student has placed at the 300-level of a language)</w:t>
      </w:r>
      <w:r w:rsidR="001A7AE1">
        <w:rPr>
          <w:color w:val="1D1C1D"/>
          <w:shd w:val="clear" w:color="auto" w:fill="FFFFFF"/>
        </w:rPr>
        <w:t xml:space="preserve"> = </w:t>
      </w:r>
      <w:r w:rsidR="001A7AE1" w:rsidRPr="000A76CB">
        <w:t>SPAN 315,</w:t>
      </w:r>
      <w:r w:rsidR="001A7AE1">
        <w:t xml:space="preserve"> </w:t>
      </w:r>
      <w:r w:rsidR="005E3C32">
        <w:t xml:space="preserve">SPAN 324, </w:t>
      </w:r>
      <w:r w:rsidR="001A7AE1" w:rsidRPr="00DE3226">
        <w:rPr>
          <w:u w:color="000000"/>
        </w:rPr>
        <w:t>T/RS 226</w:t>
      </w:r>
    </w:p>
    <w:p w14:paraId="5BC0A13C" w14:textId="77777777" w:rsidR="00F14897" w:rsidRDefault="00F14897" w:rsidP="001A7AE1">
      <w:pPr>
        <w:rPr>
          <w:color w:val="1D1C1D"/>
          <w:shd w:val="clear" w:color="auto" w:fill="FFFFFF"/>
        </w:rPr>
      </w:pPr>
    </w:p>
    <w:p w14:paraId="5F5B2FA7" w14:textId="5724742F" w:rsidR="001A7AE1" w:rsidRPr="007D7AE7" w:rsidRDefault="001A7AE1" w:rsidP="001A7AE1">
      <w:pPr>
        <w:rPr>
          <w:color w:val="1D1C1D"/>
          <w:shd w:val="clear" w:color="auto" w:fill="FFFFFF"/>
        </w:rPr>
      </w:pPr>
      <w:r>
        <w:rPr>
          <w:color w:val="1D1C1D"/>
          <w:shd w:val="clear" w:color="auto" w:fill="FFFFFF"/>
        </w:rPr>
        <w:t xml:space="preserve">6 </w:t>
      </w:r>
      <w:r w:rsidR="00F14897">
        <w:rPr>
          <w:color w:val="1D1C1D"/>
          <w:shd w:val="clear" w:color="auto" w:fill="FFFFFF"/>
        </w:rPr>
        <w:t>health elective</w:t>
      </w:r>
      <w:r w:rsidR="000A76CB">
        <w:rPr>
          <w:color w:val="1D1C1D"/>
          <w:shd w:val="clear" w:color="auto" w:fill="FFFFFF"/>
        </w:rPr>
        <w:t xml:space="preserve"> credits</w:t>
      </w:r>
      <w:r>
        <w:rPr>
          <w:color w:val="1D1C1D"/>
          <w:shd w:val="clear" w:color="auto" w:fill="FFFFFF"/>
        </w:rPr>
        <w:t xml:space="preserve"> = </w:t>
      </w:r>
      <w:r w:rsidR="00C20CE1">
        <w:rPr>
          <w:color w:val="1D1C1D"/>
          <w:shd w:val="clear" w:color="auto" w:fill="FFFFFF"/>
        </w:rPr>
        <w:t>BIOL 141</w:t>
      </w:r>
      <w:r>
        <w:rPr>
          <w:color w:val="1D1C1D"/>
          <w:shd w:val="clear" w:color="auto" w:fill="FFFFFF"/>
        </w:rPr>
        <w:t>, BIOL 364</w:t>
      </w:r>
    </w:p>
    <w:sectPr w:rsidR="001A7AE1" w:rsidRPr="007D7AE7" w:rsidSect="00290CD2">
      <w:footerReference w:type="default" r:id="rId11"/>
      <w:pgSz w:w="12240" w:h="15840"/>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C33C62" w14:textId="77777777" w:rsidR="00F3150A" w:rsidRDefault="00F3150A" w:rsidP="001506F0">
      <w:r>
        <w:separator/>
      </w:r>
    </w:p>
  </w:endnote>
  <w:endnote w:type="continuationSeparator" w:id="0">
    <w:p w14:paraId="4ADA4673" w14:textId="77777777" w:rsidR="00F3150A" w:rsidRDefault="00F3150A" w:rsidP="00150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Neue">
    <w:altName w:val="Sylfaen"/>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0995213"/>
      <w:docPartObj>
        <w:docPartGallery w:val="Page Numbers (Bottom of Page)"/>
        <w:docPartUnique/>
      </w:docPartObj>
    </w:sdtPr>
    <w:sdtEndPr>
      <w:rPr>
        <w:noProof/>
      </w:rPr>
    </w:sdtEndPr>
    <w:sdtContent>
      <w:p w14:paraId="51C29841" w14:textId="11064395" w:rsidR="000F57EF" w:rsidRDefault="000F57E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9212DB" w14:textId="77777777" w:rsidR="002507A2" w:rsidRDefault="002507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4A37A3" w14:textId="77777777" w:rsidR="00F3150A" w:rsidRDefault="00F3150A" w:rsidP="001506F0">
      <w:r>
        <w:separator/>
      </w:r>
    </w:p>
  </w:footnote>
  <w:footnote w:type="continuationSeparator" w:id="0">
    <w:p w14:paraId="2642F668" w14:textId="77777777" w:rsidR="00F3150A" w:rsidRDefault="00F3150A" w:rsidP="001506F0">
      <w:r>
        <w:continuationSeparator/>
      </w:r>
    </w:p>
  </w:footnote>
  <w:footnote w:id="1">
    <w:p w14:paraId="073F1C86" w14:textId="382DBADF" w:rsidR="002507A2" w:rsidRDefault="002507A2">
      <w:pPr>
        <w:pStyle w:val="FootnoteText"/>
      </w:pPr>
      <w:r>
        <w:rPr>
          <w:rStyle w:val="FootnoteReference"/>
        </w:rPr>
        <w:footnoteRef/>
      </w:r>
      <w:r>
        <w:t xml:space="preserve"> </w:t>
      </w:r>
      <w:r w:rsidRPr="00CE1362">
        <w:t xml:space="preserve">Jull, J., </w:t>
      </w:r>
      <w:r w:rsidR="0050598A">
        <w:t>et al</w:t>
      </w:r>
      <w:r w:rsidRPr="00CE1362">
        <w:t>. Community-based participatory research and integrated knowledge translation: advancing the co-creation of knowledge. </w:t>
      </w:r>
      <w:r w:rsidRPr="00CE1362">
        <w:rPr>
          <w:i/>
          <w:iCs/>
        </w:rPr>
        <w:t>Implementation Sci</w:t>
      </w:r>
      <w:r w:rsidRPr="00CE1362">
        <w:t> </w:t>
      </w:r>
      <w:r w:rsidRPr="00820353">
        <w:t>12</w:t>
      </w:r>
      <w:r w:rsidRPr="00CE1362">
        <w:rPr>
          <w:b/>
          <w:bCs/>
        </w:rPr>
        <w:t>, </w:t>
      </w:r>
      <w:r w:rsidRPr="00CE1362">
        <w:t>150 (2017). https://doi.org/10.1186/s13012-017-0696-3</w:t>
      </w:r>
    </w:p>
  </w:footnote>
  <w:footnote w:id="2">
    <w:p w14:paraId="1E03FF57" w14:textId="23A5BB2C" w:rsidR="002507A2" w:rsidRDefault="002507A2">
      <w:pPr>
        <w:pStyle w:val="FootnoteText"/>
      </w:pPr>
      <w:r>
        <w:rPr>
          <w:rStyle w:val="FootnoteReference"/>
        </w:rPr>
        <w:footnoteRef/>
      </w:r>
      <w:r>
        <w:t xml:space="preserve"> A document produced by the University of Notre Dame’s Center for Social Concern</w:t>
      </w:r>
      <w:r w:rsidR="0050598A">
        <w:t xml:space="preserve"> clearly</w:t>
      </w:r>
      <w:r>
        <w:t xml:space="preserve"> articulates the pillars of Catholic Social Teaching underpinning centers of this kind in the context of Catholic education: </w:t>
      </w:r>
      <w:hyperlink r:id="rId1" w:history="1">
        <w:r w:rsidRPr="00AC14DB">
          <w:rPr>
            <w:rStyle w:val="Hyperlink"/>
          </w:rPr>
          <w:t>https://socialconcerns.nd.edu/sites/default/files/documents/CST%20Intro_The%20Welcome%20Table.pdf</w:t>
        </w:r>
      </w:hyperlink>
    </w:p>
  </w:footnote>
  <w:footnote w:id="3">
    <w:p w14:paraId="55F2297C" w14:textId="78047B9B" w:rsidR="002507A2" w:rsidRDefault="002507A2">
      <w:pPr>
        <w:pStyle w:val="FootnoteText"/>
      </w:pPr>
      <w:r>
        <w:rPr>
          <w:rStyle w:val="FootnoteReference"/>
        </w:rPr>
        <w:footnoteRef/>
      </w:r>
      <w:r>
        <w:t xml:space="preserve"> </w:t>
      </w:r>
      <w:r w:rsidRPr="00B438BA">
        <w:t>https://jesuits.global/en/documents/send/8-uap-docs/63-universal-apostolic-preferences</w:t>
      </w:r>
    </w:p>
  </w:footnote>
  <w:footnote w:id="4">
    <w:p w14:paraId="6A313395" w14:textId="6365A89F" w:rsidR="00B23272" w:rsidRDefault="00B23272">
      <w:pPr>
        <w:pStyle w:val="FootnoteText"/>
      </w:pPr>
      <w:r>
        <w:rPr>
          <w:rStyle w:val="FootnoteReference"/>
        </w:rPr>
        <w:footnoteRef/>
      </w:r>
      <w:r>
        <w:t xml:space="preserve"> </w:t>
      </w:r>
      <w:r w:rsidR="006F67AF">
        <w:t xml:space="preserve">This is just one of the reasons a core requirement of the concentration is three </w:t>
      </w:r>
      <w:proofErr w:type="spellStart"/>
      <w:r w:rsidR="006F67AF">
        <w:t>transcripted</w:t>
      </w:r>
      <w:proofErr w:type="spellEnd"/>
      <w:r w:rsidR="006F67AF">
        <w:t xml:space="preserve"> credits in a world language other than English. </w:t>
      </w:r>
      <w:r w:rsidR="00D5087D">
        <w:t>(</w:t>
      </w:r>
      <w:r w:rsidR="006F67AF">
        <w:t xml:space="preserve">In a recent Modern Language Association webinar </w:t>
      </w:r>
      <w:hyperlink r:id="rId2" w:history="1">
        <w:r w:rsidR="006F67AF" w:rsidRPr="00237867">
          <w:rPr>
            <w:rStyle w:val="Hyperlink"/>
          </w:rPr>
          <w:t>“Medicine, Narrative, Pandemic, and Power</w:t>
        </w:r>
        <w:r w:rsidR="00237867">
          <w:rPr>
            <w:rStyle w:val="Hyperlink"/>
          </w:rPr>
          <w:t>,</w:t>
        </w:r>
        <w:r w:rsidR="006F67AF" w:rsidRPr="00237867">
          <w:rPr>
            <w:rStyle w:val="Hyperlink"/>
          </w:rPr>
          <w:t>”</w:t>
        </w:r>
      </w:hyperlink>
      <w:r w:rsidR="006F67AF">
        <w:t xml:space="preserve"> narrative medicine expert Rita Charon criticizes doctors who think being able to ask a patient “</w:t>
      </w:r>
      <w:r w:rsidR="006F67AF" w:rsidRPr="00F70DA8">
        <w:t>¿</w:t>
      </w:r>
      <w:proofErr w:type="spellStart"/>
      <w:r w:rsidR="006F67AF" w:rsidRPr="00F70DA8">
        <w:t>Dónde</w:t>
      </w:r>
      <w:proofErr w:type="spellEnd"/>
      <w:r w:rsidR="006F67AF" w:rsidRPr="00F70DA8">
        <w:t xml:space="preserve"> le </w:t>
      </w:r>
      <w:proofErr w:type="spellStart"/>
      <w:r w:rsidR="006F67AF" w:rsidRPr="00F70DA8">
        <w:t>duele</w:t>
      </w:r>
      <w:proofErr w:type="spellEnd"/>
      <w:r w:rsidR="006F67AF" w:rsidRPr="00F70DA8">
        <w:t>?</w:t>
      </w:r>
      <w:r w:rsidR="006F67AF">
        <w:t>”</w:t>
      </w:r>
      <w:r w:rsidR="00D5087D">
        <w:t>—</w:t>
      </w:r>
      <w:r w:rsidR="006F67AF">
        <w:t>in Spanish, “Where does it hurt?”</w:t>
      </w:r>
      <w:r w:rsidR="00D5087D">
        <w:t>—</w:t>
      </w:r>
      <w:r w:rsidR="006F67AF">
        <w:t>is sufficient for ethical care and practice and emphasizes the importance of interpreters who can speak the languages patients speak.</w:t>
      </w:r>
      <w:r w:rsidR="00D5087D">
        <w:t xml:space="preserve">) </w:t>
      </w:r>
    </w:p>
  </w:footnote>
  <w:footnote w:id="5">
    <w:p w14:paraId="1F7C1E07" w14:textId="6A0DFF4A" w:rsidR="002507A2" w:rsidRDefault="002507A2">
      <w:pPr>
        <w:pStyle w:val="FootnoteText"/>
      </w:pPr>
      <w:r>
        <w:rPr>
          <w:rStyle w:val="FootnoteReference"/>
        </w:rPr>
        <w:footnoteRef/>
      </w:r>
      <w:r>
        <w:t xml:space="preserve"> </w:t>
      </w:r>
      <w:proofErr w:type="spellStart"/>
      <w:r>
        <w:t>Ostherr</w:t>
      </w:r>
      <w:proofErr w:type="spellEnd"/>
      <w:r>
        <w:t>,</w:t>
      </w:r>
      <w:r w:rsidR="0050598A">
        <w:t xml:space="preserve"> Kristen.</w:t>
      </w:r>
      <w:r>
        <w:t xml:space="preserve"> “Humanities as Essential Services,” Inside Higher Ed, May 21, 2020.</w:t>
      </w:r>
    </w:p>
    <w:p w14:paraId="4BE8DA75" w14:textId="2A3E5A99" w:rsidR="002507A2" w:rsidRPr="0050598A" w:rsidRDefault="00F3150A" w:rsidP="0009069C">
      <w:pPr>
        <w:rPr>
          <w:sz w:val="20"/>
          <w:szCs w:val="20"/>
        </w:rPr>
      </w:pPr>
      <w:hyperlink r:id="rId3" w:history="1">
        <w:r w:rsidR="00237867" w:rsidRPr="00914FE9">
          <w:rPr>
            <w:rStyle w:val="Hyperlink"/>
            <w:sz w:val="20"/>
            <w:szCs w:val="20"/>
          </w:rPr>
          <w:t>https://www.insidehighered.com/views/2020/05/21/how-humanities-can-be-part-front-line-response-pandemic-opinion</w:t>
        </w:r>
      </w:hyperlink>
      <w:r w:rsidR="00237867">
        <w:rPr>
          <w:sz w:val="20"/>
          <w:szCs w:val="20"/>
        </w:rPr>
        <w:t xml:space="preserve"> </w:t>
      </w:r>
      <w:r w:rsidR="006F67AF">
        <w:rPr>
          <w:sz w:val="20"/>
          <w:szCs w:val="20"/>
        </w:rPr>
        <w:t xml:space="preserve"> </w:t>
      </w:r>
    </w:p>
    <w:p w14:paraId="20C3906B" w14:textId="77777777" w:rsidR="002507A2" w:rsidRDefault="002507A2">
      <w:pPr>
        <w:pStyle w:val="FootnoteText"/>
      </w:pPr>
    </w:p>
  </w:footnote>
  <w:footnote w:id="6">
    <w:p w14:paraId="717137C6" w14:textId="77777777" w:rsidR="002507A2" w:rsidRPr="006C24E3" w:rsidRDefault="002507A2" w:rsidP="00885778">
      <w:pPr>
        <w:pStyle w:val="FootnoteText"/>
      </w:pPr>
      <w:r>
        <w:rPr>
          <w:rStyle w:val="FootnoteReference"/>
        </w:rPr>
        <w:footnoteRef/>
      </w:r>
      <w:r>
        <w:t xml:space="preserve"> See Pierre </w:t>
      </w:r>
      <w:proofErr w:type="spellStart"/>
      <w:r>
        <w:t>Hadot</w:t>
      </w:r>
      <w:proofErr w:type="spellEnd"/>
      <w:r>
        <w:t xml:space="preserve">, </w:t>
      </w:r>
      <w:r>
        <w:rPr>
          <w:i/>
          <w:iCs/>
        </w:rPr>
        <w:t>Philosophy as a Way of Life: Spiritual Exercises from Socrates to Foucault</w:t>
      </w:r>
      <w:r>
        <w:t xml:space="preserve"> (Blackwell, 1995).</w:t>
      </w:r>
    </w:p>
  </w:footnote>
  <w:footnote w:id="7">
    <w:p w14:paraId="4EF86FB2" w14:textId="0B58E11D" w:rsidR="00BF6420" w:rsidRPr="00BF6420" w:rsidRDefault="002507A2" w:rsidP="00BF6420">
      <w:pPr>
        <w:pStyle w:val="FootnoteText"/>
      </w:pPr>
      <w:r w:rsidRPr="00BF6420">
        <w:rPr>
          <w:rStyle w:val="FootnoteReference"/>
        </w:rPr>
        <w:footnoteRef/>
      </w:r>
      <w:r w:rsidRPr="00BF6420">
        <w:t xml:space="preserve"> The </w:t>
      </w:r>
      <w:r w:rsidR="00BF6420">
        <w:t>field or narrative medicine alone demonstrates the</w:t>
      </w:r>
      <w:r w:rsidRPr="00BF6420">
        <w:t xml:space="preserve"> influence </w:t>
      </w:r>
      <w:r w:rsidR="00BF6420">
        <w:t xml:space="preserve">and importance </w:t>
      </w:r>
      <w:r w:rsidRPr="00BF6420">
        <w:t xml:space="preserve">of humanities education in </w:t>
      </w:r>
      <w:r w:rsidR="00BF6420">
        <w:t xml:space="preserve">ethical </w:t>
      </w:r>
      <w:r w:rsidRPr="00BF6420">
        <w:t>medic</w:t>
      </w:r>
      <w:r w:rsidR="00BF6420">
        <w:t xml:space="preserve">al practice. Rita Charon discusses some of the models for this at Columbia University in a recent webinar hosted by the Modern Language Association, </w:t>
      </w:r>
      <w:hyperlink r:id="rId4" w:history="1">
        <w:r w:rsidR="00BF6420" w:rsidRPr="00237867">
          <w:rPr>
            <w:rStyle w:val="Hyperlink"/>
          </w:rPr>
          <w:t>“Medicine, Narrative, Pandemic, and Power</w:t>
        </w:r>
        <w:r w:rsidR="00BF6420">
          <w:rPr>
            <w:rStyle w:val="Hyperlink"/>
          </w:rPr>
          <w:t>.</w:t>
        </w:r>
        <w:r w:rsidR="00BF6420" w:rsidRPr="00237867">
          <w:rPr>
            <w:rStyle w:val="Hyperlink"/>
          </w:rPr>
          <w:t>”</w:t>
        </w:r>
      </w:hyperlink>
    </w:p>
    <w:p w14:paraId="2246ACB1" w14:textId="17236D03" w:rsidR="002507A2" w:rsidRDefault="002507A2" w:rsidP="00C36859">
      <w:pPr>
        <w:pStyle w:val="FootnoteText"/>
      </w:pPr>
    </w:p>
  </w:footnote>
  <w:footnote w:id="8">
    <w:p w14:paraId="0C681B02" w14:textId="77777777" w:rsidR="002507A2" w:rsidRPr="00005003" w:rsidRDefault="002507A2" w:rsidP="004D2DF8">
      <w:r w:rsidRPr="00DC1E00">
        <w:rPr>
          <w:rStyle w:val="FootnoteReference"/>
          <w:sz w:val="20"/>
          <w:szCs w:val="20"/>
        </w:rPr>
        <w:footnoteRef/>
      </w:r>
      <w:r w:rsidRPr="00DC1E00">
        <w:rPr>
          <w:sz w:val="20"/>
          <w:szCs w:val="20"/>
        </w:rPr>
        <w:t xml:space="preserve"> </w:t>
      </w:r>
      <w:hyperlink r:id="rId5" w:history="1">
        <w:r w:rsidRPr="00DC1E00">
          <w:rPr>
            <w:rStyle w:val="Hyperlink"/>
            <w:sz w:val="20"/>
            <w:szCs w:val="20"/>
          </w:rPr>
          <w:t>https://jesuits.global/en/documents/send/8-uap-docs/63-universal-apostolic-preferences</w:t>
        </w:r>
      </w:hyperlink>
    </w:p>
  </w:footnote>
  <w:footnote w:id="9">
    <w:p w14:paraId="10E0DBCB" w14:textId="054D079C" w:rsidR="002507A2" w:rsidRPr="00D76AD9" w:rsidRDefault="002507A2" w:rsidP="004D2DF8">
      <w:pPr>
        <w:pStyle w:val="FootnoteText"/>
      </w:pPr>
      <w:r>
        <w:rPr>
          <w:rStyle w:val="FootnoteReference"/>
        </w:rPr>
        <w:footnoteRef/>
      </w:r>
      <w:r>
        <w:t xml:space="preserve"> Pope John Paul II, </w:t>
      </w:r>
      <w:r>
        <w:rPr>
          <w:i/>
          <w:iCs/>
        </w:rPr>
        <w:t xml:space="preserve">Sollicitudo Rei </w:t>
      </w:r>
      <w:proofErr w:type="spellStart"/>
      <w:r>
        <w:rPr>
          <w:i/>
          <w:iCs/>
        </w:rPr>
        <w:t>Socialis</w:t>
      </w:r>
      <w:proofErr w:type="spellEnd"/>
      <w:r>
        <w:t>, §38.</w:t>
      </w:r>
    </w:p>
  </w:footnote>
  <w:footnote w:id="10">
    <w:p w14:paraId="57CE31EA" w14:textId="6BC0DD04" w:rsidR="002507A2" w:rsidRPr="004537F7" w:rsidRDefault="002507A2" w:rsidP="004D2DF8">
      <w:pPr>
        <w:pStyle w:val="FootnoteText"/>
        <w:rPr>
          <w:iCs/>
        </w:rPr>
      </w:pPr>
      <w:r>
        <w:rPr>
          <w:rStyle w:val="FootnoteReference"/>
        </w:rPr>
        <w:footnoteRef/>
      </w:r>
      <w:r>
        <w:t xml:space="preserve"> Message of his Holiness Pope Francis for the 104</w:t>
      </w:r>
      <w:r w:rsidRPr="00DC1E00">
        <w:rPr>
          <w:vertAlign w:val="superscript"/>
        </w:rPr>
        <w:t>th</w:t>
      </w:r>
      <w:r>
        <w:t xml:space="preserve"> World Day of Migrants and Refugees 2018. </w:t>
      </w:r>
      <w:hyperlink r:id="rId6" w:history="1">
        <w:r w:rsidRPr="004537F7">
          <w:rPr>
            <w:rStyle w:val="Hyperlink"/>
          </w:rPr>
          <w:t>https://w2.vatican.va/content/francesco/en/messages/migration/documents/papa-francesco_20170815_world-migrants-day-2018.html</w:t>
        </w:r>
      </w:hyperlink>
      <w:r>
        <w:t xml:space="preserve">; see also Giulia McPherson, </w:t>
      </w:r>
      <w:r>
        <w:rPr>
          <w:iCs/>
        </w:rPr>
        <w:t xml:space="preserve">“Defending the Rights of Refugees: A Catholic Cause,” </w:t>
      </w:r>
      <w:r w:rsidRPr="00DC1E00">
        <w:rPr>
          <w:i/>
        </w:rPr>
        <w:t>Praxis: An Interdisciplinary Journal of Faith and Justice</w:t>
      </w:r>
      <w:r w:rsidRPr="004537F7">
        <w:rPr>
          <w:iCs/>
        </w:rPr>
        <w:t xml:space="preserve">, Volume 1, Number 1 pp. 47–54 </w:t>
      </w:r>
      <w:proofErr w:type="spellStart"/>
      <w:r w:rsidRPr="004537F7">
        <w:rPr>
          <w:iCs/>
        </w:rPr>
        <w:t>doi</w:t>
      </w:r>
      <w:proofErr w:type="spellEnd"/>
      <w:r w:rsidRPr="004537F7">
        <w:rPr>
          <w:iCs/>
        </w:rPr>
        <w:t>: 10.5840/praxis2018115</w:t>
      </w:r>
      <w:r w:rsidR="00BF6420">
        <w:rPr>
          <w:iCs/>
        </w:rPr>
        <w:t xml:space="preserve"> </w:t>
      </w:r>
    </w:p>
  </w:footnote>
  <w:footnote w:id="11">
    <w:p w14:paraId="1C5DB35B" w14:textId="77777777" w:rsidR="002507A2" w:rsidRPr="004537F7" w:rsidRDefault="002507A2" w:rsidP="004D2DF8">
      <w:r>
        <w:rPr>
          <w:rStyle w:val="FootnoteReference"/>
        </w:rPr>
        <w:footnoteRef/>
      </w:r>
      <w:r>
        <w:t xml:space="preserve"> </w:t>
      </w:r>
      <w:r w:rsidRPr="00DC1E00">
        <w:rPr>
          <w:sz w:val="20"/>
          <w:szCs w:val="20"/>
        </w:rPr>
        <w:t xml:space="preserve">United States Conference of Catholic Bishops, </w:t>
      </w:r>
      <w:r w:rsidRPr="00DC1E00">
        <w:rPr>
          <w:i/>
          <w:iCs/>
          <w:sz w:val="20"/>
          <w:szCs w:val="20"/>
        </w:rPr>
        <w:t>Open Wide Our Hearts: The Enduring Call to Love, A Pastoral Letter Against Racism</w:t>
      </w:r>
      <w:r w:rsidRPr="00DC1E00">
        <w:rPr>
          <w:sz w:val="20"/>
          <w:szCs w:val="20"/>
        </w:rPr>
        <w:t>, 2018. (</w:t>
      </w:r>
      <w:hyperlink r:id="rId7" w:history="1">
        <w:r w:rsidRPr="00DC1E00">
          <w:rPr>
            <w:rStyle w:val="Hyperlink"/>
            <w:sz w:val="20"/>
            <w:szCs w:val="20"/>
          </w:rPr>
          <w:t>http://www.usccb.org/issues-and-action/human-life-and-dignity/racism/upload/open-wide-our-hearts.pdf</w:t>
        </w:r>
      </w:hyperlink>
      <w:r w:rsidRPr="00DC1E00">
        <w:rPr>
          <w:sz w:val="20"/>
          <w:szCs w:val="20"/>
        </w:rPr>
        <w:t>)</w:t>
      </w:r>
    </w:p>
  </w:footnote>
  <w:footnote w:id="12">
    <w:p w14:paraId="51B65943" w14:textId="77777777" w:rsidR="002507A2" w:rsidRPr="00A218B9" w:rsidRDefault="002507A2" w:rsidP="004D2DF8">
      <w:pPr>
        <w:pStyle w:val="FootnoteText"/>
      </w:pPr>
      <w:r>
        <w:rPr>
          <w:rStyle w:val="FootnoteReference"/>
        </w:rPr>
        <w:footnoteRef/>
      </w:r>
      <w:r>
        <w:t xml:space="preserve"> Kathryn Montgomery, </w:t>
      </w:r>
      <w:r>
        <w:rPr>
          <w:i/>
          <w:iCs/>
        </w:rPr>
        <w:t>How Doctors Think: Clinical Judgment and the Practice of Medicine</w:t>
      </w:r>
      <w:r>
        <w:t xml:space="preserve"> (Oxford: Oxford University Press, 2006), 50.</w:t>
      </w:r>
    </w:p>
  </w:footnote>
  <w:footnote w:id="13">
    <w:p w14:paraId="3DED65E0" w14:textId="1752CA58" w:rsidR="002507A2" w:rsidRDefault="002507A2">
      <w:pPr>
        <w:pStyle w:val="FootnoteText"/>
      </w:pPr>
      <w:r>
        <w:rPr>
          <w:rStyle w:val="FootnoteReference"/>
        </w:rPr>
        <w:footnoteRef/>
      </w:r>
      <w:r>
        <w:t xml:space="preserve"> Supporting documents proving open collaboration with all these groups are appended to this application.</w:t>
      </w:r>
    </w:p>
  </w:footnote>
  <w:footnote w:id="14">
    <w:p w14:paraId="6D75CE05" w14:textId="204FA0C9" w:rsidR="00BF6420" w:rsidRDefault="00BF6420">
      <w:pPr>
        <w:pStyle w:val="FootnoteText"/>
      </w:pPr>
      <w:r>
        <w:rPr>
          <w:rStyle w:val="FootnoteReference"/>
        </w:rPr>
        <w:footnoteRef/>
      </w:r>
      <w:r>
        <w:t xml:space="preserve"> This course is currently offered every fall and taught by one of the directors of the proposed program. The course introduces students to the concept of narrative medicine</w:t>
      </w:r>
      <w:r w:rsidR="00A60BA6">
        <w:t xml:space="preserve"> as they perform close readings and analyses of depictions of experiences of illness; identify the multiple perspectives, narrative strategies, and narrators implicated in any experience or representation of illness, and evaluate their rhetorical positions; understand and articulate the ways in which gender, race, ethnicity, dis/ability, age, and other cultural categories of identity intersect and affect the perspectives of patients and healthcare providers; and develop and support organized arguments in a course that satisfies the University’s EPW requirement.</w:t>
      </w:r>
    </w:p>
  </w:footnote>
  <w:footnote w:id="15">
    <w:p w14:paraId="60F28DC4" w14:textId="073FFDD3" w:rsidR="002507A2" w:rsidRDefault="002507A2">
      <w:pPr>
        <w:pStyle w:val="FootnoteText"/>
      </w:pPr>
      <w:r>
        <w:rPr>
          <w:rStyle w:val="FootnoteReference"/>
        </w:rPr>
        <w:footnoteRef/>
      </w:r>
      <w:r>
        <w:t xml:space="preserve"> This document was in circulation when the University closed amid the COVID-19 crisis. However, the department chairs listed had already offered their electronic consent to the inclusion of the listed courses. This support is now also represented by an attached electronic signature form.</w:t>
      </w:r>
    </w:p>
  </w:footnote>
  <w:footnote w:id="16">
    <w:p w14:paraId="6AA33EDD" w14:textId="1697F421" w:rsidR="002507A2" w:rsidRDefault="002507A2" w:rsidP="00605210">
      <w:pPr>
        <w:pStyle w:val="FootnoteText"/>
      </w:pPr>
      <w:r>
        <w:rPr>
          <w:rStyle w:val="FootnoteReference"/>
        </w:rPr>
        <w:footnoteRef/>
      </w:r>
      <w:r>
        <w:t xml:space="preserve"> Note that the NEH Grant was awarded under the agreement that the committee would propose a set of new courses as recipients of the grant.</w:t>
      </w:r>
      <w:r w:rsidR="00487FC9">
        <w:t xml:space="preserve"> </w:t>
      </w:r>
      <w:r>
        <w:t>Institutional support and approval of proposed courses displays further commitment to the planning process and situates grantees for pursuing implementation grants to further the process.</w:t>
      </w:r>
      <w:r w:rsidR="00487FC9">
        <w:t xml:space="preserve"> </w:t>
      </w:r>
      <w:r>
        <w:t>Any future support requires further evidence that the institution is actively engaged in the promotion of educational endeavors of this kind.</w:t>
      </w:r>
    </w:p>
  </w:footnote>
  <w:footnote w:id="17">
    <w:p w14:paraId="049E0E62" w14:textId="08AE85B7" w:rsidR="002507A2" w:rsidRDefault="002507A2" w:rsidP="00EF0269">
      <w:pPr>
        <w:pStyle w:val="FootnoteText"/>
      </w:pPr>
      <w:r>
        <w:rPr>
          <w:rStyle w:val="PageNumber"/>
          <w:vertAlign w:val="superscript"/>
        </w:rPr>
        <w:footnoteRef/>
      </w:r>
      <w:r>
        <w:rPr>
          <w:rFonts w:eastAsia="Arial Unicode MS" w:cs="Arial Unicode MS"/>
        </w:rPr>
        <w:t xml:space="preserve"> news.aamc.org/medical-education/article/more-premed-opting-health-humanities-programs/. </w:t>
      </w:r>
    </w:p>
  </w:footnote>
  <w:footnote w:id="18">
    <w:p w14:paraId="3E9A8764" w14:textId="5E7D52C1" w:rsidR="002507A2" w:rsidRDefault="002507A2" w:rsidP="000F0DCB">
      <w:pPr>
        <w:pStyle w:val="Footnote"/>
        <w:rPr>
          <w:rStyle w:val="PageNumber"/>
          <w:rFonts w:ascii="Times New Roman" w:eastAsia="Times New Roman" w:hAnsi="Times New Roman" w:cs="Times New Roman"/>
          <w:sz w:val="20"/>
          <w:szCs w:val="20"/>
        </w:rPr>
      </w:pPr>
      <w:r>
        <w:rPr>
          <w:rStyle w:val="PageNumber"/>
          <w:rFonts w:ascii="Times New Roman" w:eastAsia="Times New Roman" w:hAnsi="Times New Roman" w:cs="Times New Roman"/>
          <w:vertAlign w:val="superscript"/>
        </w:rPr>
        <w:footnoteRef/>
      </w:r>
      <w:r>
        <w:rPr>
          <w:rStyle w:val="PageNumber"/>
          <w:rFonts w:ascii="Times New Roman" w:hAnsi="Times New Roman"/>
          <w:sz w:val="20"/>
          <w:szCs w:val="20"/>
        </w:rPr>
        <w:t xml:space="preserve"> Scott </w:t>
      </w:r>
      <w:proofErr w:type="spellStart"/>
      <w:r>
        <w:rPr>
          <w:rStyle w:val="PageNumber"/>
          <w:rFonts w:ascii="Times New Roman" w:hAnsi="Times New Roman"/>
          <w:sz w:val="20"/>
          <w:szCs w:val="20"/>
        </w:rPr>
        <w:t>Jaschik</w:t>
      </w:r>
      <w:proofErr w:type="spellEnd"/>
      <w:r>
        <w:rPr>
          <w:rStyle w:val="PageNumber"/>
          <w:rFonts w:ascii="Times New Roman" w:hAnsi="Times New Roman"/>
          <w:sz w:val="20"/>
          <w:szCs w:val="20"/>
        </w:rPr>
        <w:t xml:space="preserve"> discusses this scandal in an article in </w:t>
      </w:r>
      <w:r>
        <w:rPr>
          <w:rStyle w:val="PageNumber"/>
          <w:rFonts w:ascii="Times New Roman" w:hAnsi="Times New Roman"/>
          <w:i/>
          <w:iCs/>
          <w:sz w:val="20"/>
          <w:szCs w:val="20"/>
        </w:rPr>
        <w:t>Inside Higher Education</w:t>
      </w:r>
      <w:r>
        <w:rPr>
          <w:rStyle w:val="PageNumber"/>
          <w:rFonts w:ascii="Times New Roman" w:hAnsi="Times New Roman"/>
          <w:sz w:val="20"/>
          <w:szCs w:val="20"/>
        </w:rPr>
        <w:t xml:space="preserve"> </w:t>
      </w:r>
    </w:p>
    <w:p w14:paraId="4948E43B" w14:textId="77777777" w:rsidR="002507A2" w:rsidRDefault="002507A2" w:rsidP="000F0DCB">
      <w:pPr>
        <w:pStyle w:val="Footnote"/>
      </w:pPr>
      <w:r>
        <w:rPr>
          <w:rStyle w:val="PageNumber"/>
          <w:rFonts w:ascii="Times New Roman" w:hAnsi="Times New Roman"/>
          <w:sz w:val="20"/>
          <w:szCs w:val="20"/>
        </w:rPr>
        <w:t xml:space="preserve">www.insidehighered.com/news/2017/10/23/nursing-textbook-pulled-over-stereotypes. </w:t>
      </w:r>
    </w:p>
  </w:footnote>
  <w:footnote w:id="19">
    <w:p w14:paraId="3726EB58" w14:textId="77864070" w:rsidR="002507A2" w:rsidRPr="00E73364" w:rsidRDefault="002507A2" w:rsidP="00E73364">
      <w:pPr>
        <w:pStyle w:val="FootnoteText"/>
      </w:pPr>
      <w:r>
        <w:rPr>
          <w:rStyle w:val="FootnoteReference"/>
        </w:rPr>
        <w:footnoteRef/>
      </w:r>
      <w:r>
        <w:t xml:space="preserve"> Craig Klugman, “Undergraduate Education,” a chapter in the collection </w:t>
      </w:r>
      <w:r w:rsidRPr="00E73364">
        <w:rPr>
          <w:i/>
        </w:rPr>
        <w:t>Teaching Health Humanities</w:t>
      </w:r>
      <w:r>
        <w:t xml:space="preserve">, edited by Olivia Banner, Nathan Carlin, and Thomas R. Cole, and published by Oxford University Press. </w:t>
      </w:r>
    </w:p>
  </w:footnote>
  <w:footnote w:id="20">
    <w:p w14:paraId="13EC0083" w14:textId="42851809" w:rsidR="002507A2" w:rsidRPr="008D658D" w:rsidRDefault="002507A2">
      <w:pPr>
        <w:pStyle w:val="FootnoteText"/>
      </w:pPr>
      <w:r>
        <w:rPr>
          <w:rStyle w:val="FootnoteReference"/>
        </w:rPr>
        <w:footnoteRef/>
      </w:r>
      <w:r>
        <w:t xml:space="preserve"> Data from 2018 provided by the director of the Pre-medical program, Dr. Mary Engel. </w:t>
      </w:r>
    </w:p>
  </w:footnote>
  <w:footnote w:id="21">
    <w:p w14:paraId="0C687EFB" w14:textId="77777777" w:rsidR="002507A2" w:rsidRDefault="002507A2" w:rsidP="00D84C99">
      <w:pPr>
        <w:pStyle w:val="Footnote"/>
      </w:pPr>
      <w:r>
        <w:rPr>
          <w:rStyle w:val="PageNumber"/>
          <w:rFonts w:ascii="Times New Roman" w:eastAsia="Times New Roman" w:hAnsi="Times New Roman" w:cs="Times New Roman"/>
          <w:vertAlign w:val="superscript"/>
        </w:rPr>
        <w:footnoteRef/>
      </w:r>
      <w:r>
        <w:rPr>
          <w:rStyle w:val="PageNumber"/>
          <w:rFonts w:ascii="Times New Roman" w:hAnsi="Times New Roman"/>
          <w:sz w:val="20"/>
          <w:szCs w:val="20"/>
        </w:rPr>
        <w:t xml:space="preserve"> Current demographics information can be found here: www.city-data.com/city/Scranton-Pennsylvania.html. </w:t>
      </w:r>
    </w:p>
  </w:footnote>
  <w:footnote w:id="22">
    <w:p w14:paraId="1FDC2AF8" w14:textId="77777777" w:rsidR="002507A2" w:rsidRDefault="002507A2" w:rsidP="00D84C99">
      <w:pPr>
        <w:pStyle w:val="FootnoteText"/>
        <w:rPr>
          <w:rStyle w:val="PageNumber"/>
        </w:rPr>
      </w:pPr>
      <w:r>
        <w:rPr>
          <w:rStyle w:val="PageNumber"/>
          <w:vertAlign w:val="superscript"/>
        </w:rPr>
        <w:footnoteRef/>
      </w:r>
      <w:r>
        <w:rPr>
          <w:rStyle w:val="PageNumber"/>
          <w:rFonts w:eastAsia="Arial Unicode MS" w:cs="Arial Unicode MS"/>
        </w:rPr>
        <w:t xml:space="preserve"> The United States Census Bureau offers census data from 2010 here: </w:t>
      </w:r>
    </w:p>
    <w:p w14:paraId="5C692005" w14:textId="77777777" w:rsidR="002507A2" w:rsidRDefault="002507A2" w:rsidP="00D84C99">
      <w:pPr>
        <w:pStyle w:val="FootnoteText"/>
      </w:pPr>
      <w:r>
        <w:rPr>
          <w:rStyle w:val="PageNumber"/>
          <w:rFonts w:eastAsia="Arial Unicode MS" w:cs="Arial Unicode MS"/>
        </w:rPr>
        <w:t xml:space="preserve">factfinder.census.gov/faces/tableservices/jsf/pages/productview.xhtml?src=CF. </w:t>
      </w:r>
    </w:p>
  </w:footnote>
  <w:footnote w:id="23">
    <w:p w14:paraId="47FE34EF" w14:textId="77777777" w:rsidR="002507A2" w:rsidRDefault="002507A2" w:rsidP="00D84C99">
      <w:pPr>
        <w:pStyle w:val="Footnote"/>
        <w:rPr>
          <w:rStyle w:val="PageNumber"/>
          <w:rFonts w:ascii="Times New Roman" w:eastAsia="Times New Roman" w:hAnsi="Times New Roman" w:cs="Times New Roman"/>
          <w:sz w:val="20"/>
          <w:szCs w:val="20"/>
        </w:rPr>
      </w:pPr>
      <w:r>
        <w:rPr>
          <w:rStyle w:val="PageNumber"/>
          <w:rFonts w:ascii="Times New Roman" w:eastAsia="Times New Roman" w:hAnsi="Times New Roman" w:cs="Times New Roman"/>
          <w:vertAlign w:val="superscript"/>
        </w:rPr>
        <w:footnoteRef/>
      </w:r>
      <w:r>
        <w:rPr>
          <w:rStyle w:val="PageNumber"/>
          <w:rFonts w:ascii="Times New Roman" w:hAnsi="Times New Roman"/>
          <w:sz w:val="20"/>
          <w:szCs w:val="20"/>
        </w:rPr>
        <w:t xml:space="preserve"> The </w:t>
      </w:r>
      <w:r>
        <w:rPr>
          <w:rStyle w:val="PageNumber"/>
          <w:rFonts w:ascii="Times New Roman" w:hAnsi="Times New Roman"/>
          <w:i/>
          <w:iCs/>
          <w:sz w:val="20"/>
          <w:szCs w:val="20"/>
        </w:rPr>
        <w:t xml:space="preserve">Scranton Journal </w:t>
      </w:r>
      <w:r>
        <w:rPr>
          <w:rStyle w:val="PageNumber"/>
          <w:rFonts w:ascii="Times New Roman" w:hAnsi="Times New Roman"/>
          <w:sz w:val="20"/>
          <w:szCs w:val="20"/>
        </w:rPr>
        <w:t>published additional information about this in 2016:</w:t>
      </w:r>
    </w:p>
    <w:p w14:paraId="7E419BD9" w14:textId="77777777" w:rsidR="002507A2" w:rsidRDefault="002507A2" w:rsidP="00D84C99">
      <w:pPr>
        <w:pStyle w:val="Footnote"/>
      </w:pPr>
      <w:r>
        <w:rPr>
          <w:rStyle w:val="PageNumber"/>
          <w:rFonts w:ascii="Times New Roman" w:hAnsi="Times New Roman"/>
          <w:sz w:val="20"/>
          <w:szCs w:val="20"/>
        </w:rPr>
        <w:t xml:space="preserve"> www.scranton.edu/alumni/journal/issues/2016/fall/features/state-of-scranton.shtml. </w:t>
      </w:r>
    </w:p>
  </w:footnote>
  <w:footnote w:id="24">
    <w:p w14:paraId="16A8376D" w14:textId="7B8E6147" w:rsidR="002507A2" w:rsidRDefault="002507A2">
      <w:pPr>
        <w:pStyle w:val="FootnoteText"/>
      </w:pPr>
      <w:r>
        <w:rPr>
          <w:rStyle w:val="FootnoteReference"/>
        </w:rPr>
        <w:footnoteRef/>
      </w:r>
      <w:r>
        <w:t xml:space="preserve"> </w:t>
      </w:r>
      <w:r w:rsidRPr="00C855B8">
        <w:t>http://catalog.lehigh.edu/coursesprogramsandcurricula/artsandsciences/health</w:t>
      </w:r>
      <w:r>
        <w:t>medicineandsociety/</w:t>
      </w:r>
    </w:p>
  </w:footnote>
  <w:footnote w:id="25">
    <w:p w14:paraId="29EBE3FD" w14:textId="3ABE56BD" w:rsidR="002507A2" w:rsidRDefault="002507A2">
      <w:pPr>
        <w:pStyle w:val="FootnoteText"/>
      </w:pPr>
      <w:r>
        <w:rPr>
          <w:rStyle w:val="FootnoteReference"/>
        </w:rPr>
        <w:footnoteRef/>
      </w:r>
      <w:r>
        <w:t xml:space="preserve"> </w:t>
      </w:r>
      <w:r w:rsidRPr="00C855B8">
        <w:t>https://bulletins.psu.edu/undergraduate/colleges/intercollege/bioethics-medical-humanities</w:t>
      </w:r>
      <w:r>
        <w:t>-minor/#programrequirementstext</w:t>
      </w:r>
    </w:p>
  </w:footnote>
  <w:footnote w:id="26">
    <w:p w14:paraId="04BD79D6" w14:textId="7D44C7AB" w:rsidR="002507A2" w:rsidRDefault="002507A2">
      <w:pPr>
        <w:pStyle w:val="FootnoteText"/>
      </w:pPr>
      <w:r>
        <w:rPr>
          <w:rStyle w:val="FootnoteReference"/>
        </w:rPr>
        <w:footnoteRef/>
      </w:r>
      <w:r>
        <w:t xml:space="preserve"> </w:t>
      </w:r>
      <w:r w:rsidRPr="00C855B8">
        <w:t>https://www.m</w:t>
      </w:r>
      <w:r>
        <w:t>isericordia.edu/page.cfm?p=1798</w:t>
      </w:r>
    </w:p>
  </w:footnote>
  <w:footnote w:id="27">
    <w:p w14:paraId="0A3FBF07" w14:textId="42396398" w:rsidR="002507A2" w:rsidRDefault="002507A2">
      <w:pPr>
        <w:pStyle w:val="FootnoteText"/>
      </w:pPr>
      <w:r>
        <w:rPr>
          <w:rStyle w:val="FootnoteReference"/>
        </w:rPr>
        <w:footnoteRef/>
      </w:r>
      <w:r>
        <w:t xml:space="preserve"> </w:t>
      </w:r>
      <w:r w:rsidRPr="00C855B8">
        <w:t>https://www.montclair.edu/medical-humanities/courses</w:t>
      </w:r>
      <w:r>
        <w:t>/</w:t>
      </w:r>
    </w:p>
  </w:footnote>
  <w:footnote w:id="28">
    <w:p w14:paraId="3D8CBB42" w14:textId="044959E6" w:rsidR="002507A2" w:rsidRDefault="002507A2">
      <w:pPr>
        <w:pStyle w:val="FootnoteText"/>
      </w:pPr>
      <w:r>
        <w:rPr>
          <w:rStyle w:val="FootnoteReference"/>
        </w:rPr>
        <w:footnoteRef/>
      </w:r>
      <w:r>
        <w:t xml:space="preserve"> </w:t>
      </w:r>
      <w:r w:rsidRPr="000660D5">
        <w:t>https://www.bc.edu/content/bc-web/schools/mcas/sites/medhumanities/about.html.</w:t>
      </w:r>
    </w:p>
  </w:footnote>
  <w:footnote w:id="29">
    <w:p w14:paraId="59C48CB2" w14:textId="64C1AB06" w:rsidR="002507A2" w:rsidRDefault="002507A2">
      <w:pPr>
        <w:pStyle w:val="FootnoteText"/>
      </w:pPr>
      <w:r>
        <w:rPr>
          <w:rStyle w:val="FootnoteReference"/>
        </w:rPr>
        <w:footnoteRef/>
      </w:r>
      <w:r>
        <w:t xml:space="preserve"> https://she.sju.edu/#programs</w:t>
      </w:r>
    </w:p>
  </w:footnote>
  <w:footnote w:id="30">
    <w:p w14:paraId="51BB4189" w14:textId="3130AAE0" w:rsidR="002507A2" w:rsidRDefault="002507A2">
      <w:pPr>
        <w:pStyle w:val="FootnoteText"/>
      </w:pPr>
      <w:r>
        <w:rPr>
          <w:rStyle w:val="FootnoteReference"/>
        </w:rPr>
        <w:footnoteRef/>
      </w:r>
      <w:r>
        <w:t xml:space="preserve"> For resources on high impact practices, see the following AAC&amp;U report: </w:t>
      </w:r>
      <w:hyperlink r:id="rId8" w:history="1">
        <w:r w:rsidR="000D0ACC" w:rsidRPr="006F600C">
          <w:rPr>
            <w:rStyle w:val="Hyperlink"/>
          </w:rPr>
          <w:t>https://www.aacu.org/sites/default/files/files/LEAP/HIP_tables.pdf</w:t>
        </w:r>
      </w:hyperlink>
    </w:p>
  </w:footnote>
  <w:footnote w:id="31">
    <w:p w14:paraId="67696F3C" w14:textId="77777777" w:rsidR="002507A2" w:rsidRPr="00E73364" w:rsidRDefault="002507A2" w:rsidP="00A31759">
      <w:pPr>
        <w:pStyle w:val="FootnoteText"/>
      </w:pPr>
      <w:r>
        <w:rPr>
          <w:rStyle w:val="FootnoteReference"/>
        </w:rPr>
        <w:footnoteRef/>
      </w:r>
      <w:r>
        <w:t xml:space="preserve"> Craig Klugman, “Undergraduate Education,” a chapter in the collection </w:t>
      </w:r>
      <w:r w:rsidRPr="00E73364">
        <w:rPr>
          <w:i/>
        </w:rPr>
        <w:t>Teaching Health Humanities</w:t>
      </w:r>
      <w:r>
        <w:t xml:space="preserve">, edited by Olivia Banner, Nathan Carlin, and Thomas R. Cole, and published by Oxford University Press. </w:t>
      </w:r>
    </w:p>
  </w:footnote>
  <w:footnote w:id="32">
    <w:p w14:paraId="6BC251BD" w14:textId="031695FC" w:rsidR="00D71DB6" w:rsidRDefault="00D71DB6">
      <w:pPr>
        <w:pStyle w:val="FootnoteText"/>
      </w:pPr>
      <w:r>
        <w:rPr>
          <w:rStyle w:val="FootnoteReference"/>
        </w:rPr>
        <w:footnoteRef/>
      </w:r>
      <w:r>
        <w:t xml:space="preserve"> </w:t>
      </w:r>
      <w:r>
        <w:rPr>
          <w:rStyle w:val="PageNumber"/>
        </w:rPr>
        <w:t>Note: The University of Scranton does not conduct assessment of Concentrations.</w:t>
      </w:r>
      <w:r w:rsidR="00487FC9">
        <w:rPr>
          <w:rStyle w:val="PageNumber"/>
        </w:rPr>
        <w:t xml:space="preserve"> </w:t>
      </w:r>
      <w:r>
        <w:rPr>
          <w:rStyle w:val="PageNumber"/>
        </w:rPr>
        <w:t>We engage in Program Assessments and require syllabi to indicate how they can engage concerns about quality assurance with respect to course content. Since the courses utilized in the Concentration already bear the vetted assessment mechanisms for courses and programs, the listed courses remain available for appropriate assessment practices required for Programs.</w:t>
      </w:r>
      <w:r w:rsidR="00487FC9">
        <w:rPr>
          <w:rStyle w:val="PageNumber"/>
        </w:rPr>
        <w:t xml:space="preserve"> </w:t>
      </w:r>
      <w:r>
        <w:rPr>
          <w:rStyle w:val="PageNumber"/>
        </w:rPr>
        <w:t>Until the Concentration becomes a Program, it is not required to engage in assessment practices of the kind listed here.</w:t>
      </w:r>
      <w:r w:rsidR="00487FC9">
        <w:rPr>
          <w:rStyle w:val="PageNumber"/>
        </w:rPr>
        <w:t xml:space="preserve"> </w:t>
      </w:r>
      <w:r>
        <w:rPr>
          <w:rStyle w:val="PageNumber"/>
        </w:rPr>
        <w:t>We provide the necessary components of best practices for assessment, for the sake of completing the proper elements of the application, but with the caveat that the Institution itself does not at this time require assessment of concentrations for the sake of reporting to accrediting bodies, such as Middle States.</w:t>
      </w:r>
    </w:p>
  </w:footnote>
  <w:footnote w:id="33">
    <w:p w14:paraId="135A5A11" w14:textId="77777777" w:rsidR="001127F6" w:rsidRDefault="001127F6" w:rsidP="001127F6">
      <w:pPr>
        <w:pStyle w:val="FootnoteText"/>
      </w:pPr>
      <w:r>
        <w:rPr>
          <w:rStyle w:val="FootnoteReference"/>
        </w:rPr>
        <w:footnoteRef/>
      </w:r>
      <w:r>
        <w:t xml:space="preserve"> This course is currently offered every fall and taught by one of the directors of the proposed program. The course introduces students to the concept of narrative medicine as they perform close readings and analyses of depictions of experiences of illness; identify the multiple perspectives, narrative strategies, and narrators implicated in any experience or representation of illness, and evaluate their rhetorical positions; understand and articulate the ways in which gender, race, ethnicity, dis/ability, age, and other cultural categories of identity intersect and affect the perspectives of patients and healthcare providers; and develop and support organized arguments in a course that satisfies the University’s EPW requirement.</w:t>
      </w:r>
    </w:p>
  </w:footnote>
  <w:footnote w:id="34">
    <w:p w14:paraId="4FB169E4" w14:textId="3BD9BEE5" w:rsidR="001127F6" w:rsidRDefault="001127F6">
      <w:pPr>
        <w:pStyle w:val="FootnoteText"/>
      </w:pPr>
      <w:r>
        <w:rPr>
          <w:rStyle w:val="FootnoteReference"/>
        </w:rPr>
        <w:footnoteRef/>
      </w:r>
      <w:r>
        <w:t xml:space="preserve"> </w:t>
      </w:r>
      <w:r w:rsidRPr="001127F6">
        <w:t xml:space="preserve"> </w:t>
      </w:r>
      <w:r>
        <w:t>M</w:t>
      </w:r>
      <w:r w:rsidRPr="001127F6">
        <w:t>any students at the University will likely fulfill this requirement with Spanish, given the service opportunities available at the Leahy Clinic with Spanish-speaking members of the Scranton community and other courses in the concentration that students might apply toward their Spanish majors or minors. However, the concentration is designed to recognize the value of the study of any world language</w:t>
      </w:r>
      <w:r>
        <w:t xml:space="preserve"> to study in the humanities</w:t>
      </w:r>
      <w:r w:rsidRPr="001127F6">
        <w:t xml:space="preserve">, </w:t>
      </w:r>
      <w:r>
        <w:t>as well as</w:t>
      </w:r>
      <w:r w:rsidRPr="001127F6">
        <w:t xml:space="preserve"> the additional benefit </w:t>
      </w:r>
      <w:r>
        <w:t>such study might</w:t>
      </w:r>
      <w:r w:rsidRPr="001127F6">
        <w:t xml:space="preserve"> provide for students who may complete service trips related to healthcare and who many pursue future opportunities</w:t>
      </w:r>
      <w:r>
        <w:t xml:space="preserve"> in the health professions. </w:t>
      </w:r>
      <w:r w:rsidR="00600E57">
        <w:t xml:space="preserve">We recognize that not all of these courses are offered with the same frequency but want our students who do take these less frequently offered world language courses to have the opportunity to apply their study to this concentration.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37408"/>
    <w:multiLevelType w:val="hybridMultilevel"/>
    <w:tmpl w:val="72942512"/>
    <w:lvl w:ilvl="0" w:tplc="44444F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1685C"/>
    <w:multiLevelType w:val="hybridMultilevel"/>
    <w:tmpl w:val="1FAC816C"/>
    <w:numStyleLink w:val="ImportedStyle4"/>
  </w:abstractNum>
  <w:abstractNum w:abstractNumId="2" w15:restartNumberingAfterBreak="0">
    <w:nsid w:val="0B1710B3"/>
    <w:multiLevelType w:val="hybridMultilevel"/>
    <w:tmpl w:val="E3640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86152C"/>
    <w:multiLevelType w:val="hybridMultilevel"/>
    <w:tmpl w:val="D144C2B6"/>
    <w:lvl w:ilvl="0" w:tplc="D196FA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330BC6"/>
    <w:multiLevelType w:val="hybridMultilevel"/>
    <w:tmpl w:val="98E055F0"/>
    <w:lvl w:ilvl="0" w:tplc="1EC4C5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FB39E3"/>
    <w:multiLevelType w:val="hybridMultilevel"/>
    <w:tmpl w:val="984ACD78"/>
    <w:numStyleLink w:val="Numbered"/>
  </w:abstractNum>
  <w:abstractNum w:abstractNumId="6" w15:restartNumberingAfterBreak="0">
    <w:nsid w:val="717A2091"/>
    <w:multiLevelType w:val="hybridMultilevel"/>
    <w:tmpl w:val="1FAC816C"/>
    <w:styleLink w:val="ImportedStyle4"/>
    <w:lvl w:ilvl="0" w:tplc="81F05E42">
      <w:start w:val="1"/>
      <w:numFmt w:val="low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E7635A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ACAE72E">
      <w:start w:val="1"/>
      <w:numFmt w:val="lowerRoman"/>
      <w:lvlText w:val="%3."/>
      <w:lvlJc w:val="left"/>
      <w:pPr>
        <w:ind w:left="216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3" w:tplc="5F84A03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382769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CAA329C">
      <w:start w:val="1"/>
      <w:numFmt w:val="lowerRoman"/>
      <w:lvlText w:val="%6."/>
      <w:lvlJc w:val="left"/>
      <w:pPr>
        <w:ind w:left="432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6" w:tplc="0BE256E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162DBD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808C198">
      <w:start w:val="1"/>
      <w:numFmt w:val="lowerRoman"/>
      <w:lvlText w:val="%9."/>
      <w:lvlJc w:val="left"/>
      <w:pPr>
        <w:ind w:left="6480" w:hanging="2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734562F5"/>
    <w:multiLevelType w:val="hybridMultilevel"/>
    <w:tmpl w:val="1A021D92"/>
    <w:lvl w:ilvl="0" w:tplc="E88C028A">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005FF0"/>
    <w:multiLevelType w:val="hybridMultilevel"/>
    <w:tmpl w:val="984ACD78"/>
    <w:styleLink w:val="Numbered"/>
    <w:lvl w:ilvl="0" w:tplc="157CBCC6">
      <w:start w:val="1"/>
      <w:numFmt w:val="decimal"/>
      <w:suff w:val="nothing"/>
      <w:lvlText w:val="%1."/>
      <w:lvlJc w:val="left"/>
      <w:pPr>
        <w:ind w:left="360" w:firstLine="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748A5EEC">
      <w:start w:val="1"/>
      <w:numFmt w:val="decimal"/>
      <w:suff w:val="nothing"/>
      <w:lvlText w:val="%2."/>
      <w:lvlJc w:val="left"/>
      <w:pPr>
        <w:ind w:left="540" w:firstLine="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0AC698FA">
      <w:start w:val="1"/>
      <w:numFmt w:val="decimal"/>
      <w:suff w:val="nothing"/>
      <w:lvlText w:val="%3."/>
      <w:lvlJc w:val="left"/>
      <w:pPr>
        <w:ind w:left="720" w:firstLine="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37CA8826">
      <w:start w:val="1"/>
      <w:numFmt w:val="decimal"/>
      <w:suff w:val="nothing"/>
      <w:lvlText w:val="%4."/>
      <w:lvlJc w:val="left"/>
      <w:pPr>
        <w:ind w:left="900" w:firstLine="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7CA40FAE">
      <w:start w:val="1"/>
      <w:numFmt w:val="decimal"/>
      <w:suff w:val="nothing"/>
      <w:lvlText w:val="%5."/>
      <w:lvlJc w:val="left"/>
      <w:pPr>
        <w:ind w:left="1080" w:firstLine="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09B6E44E">
      <w:start w:val="1"/>
      <w:numFmt w:val="decimal"/>
      <w:suff w:val="nothing"/>
      <w:lvlText w:val="%6."/>
      <w:lvlJc w:val="left"/>
      <w:pPr>
        <w:ind w:left="1260" w:firstLine="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4B44F530">
      <w:start w:val="1"/>
      <w:numFmt w:val="decimal"/>
      <w:suff w:val="nothing"/>
      <w:lvlText w:val="%7."/>
      <w:lvlJc w:val="left"/>
      <w:pPr>
        <w:ind w:left="1440" w:firstLine="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E17292F2">
      <w:start w:val="1"/>
      <w:numFmt w:val="decimal"/>
      <w:suff w:val="nothing"/>
      <w:lvlText w:val="%8."/>
      <w:lvlJc w:val="left"/>
      <w:pPr>
        <w:ind w:left="1620" w:firstLine="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ED20A7B2">
      <w:start w:val="1"/>
      <w:numFmt w:val="decimal"/>
      <w:suff w:val="nothing"/>
      <w:lvlText w:val="%9."/>
      <w:lvlJc w:val="left"/>
      <w:pPr>
        <w:ind w:left="1800" w:firstLine="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6"/>
  </w:num>
  <w:num w:numId="2">
    <w:abstractNumId w:val="1"/>
  </w:num>
  <w:num w:numId="3">
    <w:abstractNumId w:val="0"/>
  </w:num>
  <w:num w:numId="4">
    <w:abstractNumId w:val="3"/>
  </w:num>
  <w:num w:numId="5">
    <w:abstractNumId w:val="2"/>
  </w:num>
  <w:num w:numId="6">
    <w:abstractNumId w:val="7"/>
  </w:num>
  <w:num w:numId="7">
    <w:abstractNumId w:val="8"/>
  </w:num>
  <w:num w:numId="8">
    <w:abstractNumId w:val="5"/>
    <w:lvlOverride w:ilvl="0">
      <w:lvl w:ilvl="0" w:tplc="29642DE2">
        <w:start w:val="1"/>
        <w:numFmt w:val="decimal"/>
        <w:suff w:val="nothing"/>
        <w:lvlText w:val="%1."/>
        <w:lvlJc w:val="left"/>
        <w:pPr>
          <w:ind w:left="360" w:firstLine="0"/>
        </w:pPr>
        <w:rPr>
          <w:rFonts w:ascii="Times New Roman" w:eastAsia="Helvetica"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ES_tradnl" w:vendorID="64" w:dllVersion="6" w:nlCheck="1" w:checkStyle="0"/>
  <w:activeWritingStyle w:appName="MSWord" w:lang="en-US" w:vendorID="64" w:dllVersion="6" w:nlCheck="1" w:checkStyle="1"/>
  <w:activeWritingStyle w:appName="MSWord" w:lang="en-US" w:vendorID="64" w:dllVersion="0" w:nlCheck="1" w:checkStyle="0"/>
  <w:activeWritingStyle w:appName="MSWord" w:lang="es-ES_tradnl" w:vendorID="64" w:dllVersion="0" w:nlCheck="1" w:checkStyle="0"/>
  <w:activeWritingStyle w:appName="MSWord" w:lang="en-US" w:vendorID="64" w:dllVersion="4096" w:nlCheck="1" w:checkStyle="0"/>
  <w:activeWritingStyle w:appName="MSWord" w:lang="es-ES_tradnl" w:vendorID="64" w:dllVersion="4096" w:nlCheck="1" w:checkStyle="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6F0"/>
    <w:rsid w:val="00003368"/>
    <w:rsid w:val="00004B46"/>
    <w:rsid w:val="00005003"/>
    <w:rsid w:val="00020A75"/>
    <w:rsid w:val="0002154B"/>
    <w:rsid w:val="00031EF2"/>
    <w:rsid w:val="00051FFD"/>
    <w:rsid w:val="0005545F"/>
    <w:rsid w:val="000660D5"/>
    <w:rsid w:val="000723C1"/>
    <w:rsid w:val="00076B2C"/>
    <w:rsid w:val="0008149C"/>
    <w:rsid w:val="0009069C"/>
    <w:rsid w:val="00092BA3"/>
    <w:rsid w:val="000953CC"/>
    <w:rsid w:val="000A16FE"/>
    <w:rsid w:val="000A231F"/>
    <w:rsid w:val="000A76CB"/>
    <w:rsid w:val="000A7FF1"/>
    <w:rsid w:val="000C7B59"/>
    <w:rsid w:val="000D05DC"/>
    <w:rsid w:val="000D0ACC"/>
    <w:rsid w:val="000D2449"/>
    <w:rsid w:val="000F0DCB"/>
    <w:rsid w:val="000F57EF"/>
    <w:rsid w:val="000F67EA"/>
    <w:rsid w:val="001127F6"/>
    <w:rsid w:val="00116258"/>
    <w:rsid w:val="001217EF"/>
    <w:rsid w:val="0013259B"/>
    <w:rsid w:val="00132B97"/>
    <w:rsid w:val="00134397"/>
    <w:rsid w:val="001373A0"/>
    <w:rsid w:val="00137700"/>
    <w:rsid w:val="0014419F"/>
    <w:rsid w:val="001506F0"/>
    <w:rsid w:val="00151858"/>
    <w:rsid w:val="00174A35"/>
    <w:rsid w:val="00181336"/>
    <w:rsid w:val="0018776B"/>
    <w:rsid w:val="001A13FC"/>
    <w:rsid w:val="001A4E08"/>
    <w:rsid w:val="001A7AE1"/>
    <w:rsid w:val="001B3BAB"/>
    <w:rsid w:val="001B601E"/>
    <w:rsid w:val="001C131C"/>
    <w:rsid w:val="001F180F"/>
    <w:rsid w:val="002001EE"/>
    <w:rsid w:val="00210691"/>
    <w:rsid w:val="00212F7B"/>
    <w:rsid w:val="00227C57"/>
    <w:rsid w:val="0023566F"/>
    <w:rsid w:val="00237867"/>
    <w:rsid w:val="002410D9"/>
    <w:rsid w:val="00245EDF"/>
    <w:rsid w:val="00247376"/>
    <w:rsid w:val="002507A2"/>
    <w:rsid w:val="002553B5"/>
    <w:rsid w:val="00271332"/>
    <w:rsid w:val="00271E57"/>
    <w:rsid w:val="002747AF"/>
    <w:rsid w:val="0028429D"/>
    <w:rsid w:val="00290CD2"/>
    <w:rsid w:val="00297C41"/>
    <w:rsid w:val="002A0958"/>
    <w:rsid w:val="002A4618"/>
    <w:rsid w:val="002B14DB"/>
    <w:rsid w:val="002B47A8"/>
    <w:rsid w:val="002C0F59"/>
    <w:rsid w:val="002C1019"/>
    <w:rsid w:val="002C4C8F"/>
    <w:rsid w:val="002D4E5D"/>
    <w:rsid w:val="002D5559"/>
    <w:rsid w:val="002E01CB"/>
    <w:rsid w:val="00311E62"/>
    <w:rsid w:val="00314143"/>
    <w:rsid w:val="0031770F"/>
    <w:rsid w:val="003203AC"/>
    <w:rsid w:val="0033780D"/>
    <w:rsid w:val="003438A2"/>
    <w:rsid w:val="0034563A"/>
    <w:rsid w:val="0035504F"/>
    <w:rsid w:val="00365216"/>
    <w:rsid w:val="00371FBE"/>
    <w:rsid w:val="00375154"/>
    <w:rsid w:val="00384906"/>
    <w:rsid w:val="0038528B"/>
    <w:rsid w:val="00390F6E"/>
    <w:rsid w:val="00391B1C"/>
    <w:rsid w:val="003B4016"/>
    <w:rsid w:val="003C3315"/>
    <w:rsid w:val="003E7FC4"/>
    <w:rsid w:val="00411EE6"/>
    <w:rsid w:val="00417952"/>
    <w:rsid w:val="00433FDF"/>
    <w:rsid w:val="004537F7"/>
    <w:rsid w:val="00467845"/>
    <w:rsid w:val="00472238"/>
    <w:rsid w:val="00473B65"/>
    <w:rsid w:val="00481EE4"/>
    <w:rsid w:val="00482340"/>
    <w:rsid w:val="00483637"/>
    <w:rsid w:val="00485DDF"/>
    <w:rsid w:val="00487FC9"/>
    <w:rsid w:val="004A0566"/>
    <w:rsid w:val="004A417D"/>
    <w:rsid w:val="004C26AB"/>
    <w:rsid w:val="004D2DF8"/>
    <w:rsid w:val="004F4E18"/>
    <w:rsid w:val="004F54BA"/>
    <w:rsid w:val="005019BD"/>
    <w:rsid w:val="00503ED6"/>
    <w:rsid w:val="0050598A"/>
    <w:rsid w:val="00516D0F"/>
    <w:rsid w:val="005226CF"/>
    <w:rsid w:val="00536033"/>
    <w:rsid w:val="00545DD4"/>
    <w:rsid w:val="00552761"/>
    <w:rsid w:val="00554DFB"/>
    <w:rsid w:val="0056655D"/>
    <w:rsid w:val="005A2DCC"/>
    <w:rsid w:val="005D69CB"/>
    <w:rsid w:val="005E12F8"/>
    <w:rsid w:val="005E3C32"/>
    <w:rsid w:val="00600E57"/>
    <w:rsid w:val="00605210"/>
    <w:rsid w:val="00642182"/>
    <w:rsid w:val="00645284"/>
    <w:rsid w:val="006460DD"/>
    <w:rsid w:val="00650794"/>
    <w:rsid w:val="00671767"/>
    <w:rsid w:val="006745CD"/>
    <w:rsid w:val="00676360"/>
    <w:rsid w:val="00682A0E"/>
    <w:rsid w:val="00684FD7"/>
    <w:rsid w:val="00695948"/>
    <w:rsid w:val="006963E3"/>
    <w:rsid w:val="006A09DC"/>
    <w:rsid w:val="006B3178"/>
    <w:rsid w:val="006C24E3"/>
    <w:rsid w:val="006C5BC1"/>
    <w:rsid w:val="006D0149"/>
    <w:rsid w:val="006E1A11"/>
    <w:rsid w:val="006F3D15"/>
    <w:rsid w:val="006F67AF"/>
    <w:rsid w:val="00705394"/>
    <w:rsid w:val="007077D8"/>
    <w:rsid w:val="007204D6"/>
    <w:rsid w:val="0072674B"/>
    <w:rsid w:val="00727AB0"/>
    <w:rsid w:val="00727E8B"/>
    <w:rsid w:val="00746054"/>
    <w:rsid w:val="00760A48"/>
    <w:rsid w:val="00770F77"/>
    <w:rsid w:val="00775A66"/>
    <w:rsid w:val="00783C6A"/>
    <w:rsid w:val="00791871"/>
    <w:rsid w:val="00792B23"/>
    <w:rsid w:val="007A1C0C"/>
    <w:rsid w:val="007A1D41"/>
    <w:rsid w:val="007A5815"/>
    <w:rsid w:val="007C5895"/>
    <w:rsid w:val="007D73CC"/>
    <w:rsid w:val="007D7AE7"/>
    <w:rsid w:val="007E200B"/>
    <w:rsid w:val="007F0011"/>
    <w:rsid w:val="00817F08"/>
    <w:rsid w:val="00820353"/>
    <w:rsid w:val="00822B38"/>
    <w:rsid w:val="00822E94"/>
    <w:rsid w:val="008235E8"/>
    <w:rsid w:val="008264FB"/>
    <w:rsid w:val="00827FEE"/>
    <w:rsid w:val="008305F4"/>
    <w:rsid w:val="00830787"/>
    <w:rsid w:val="008438CE"/>
    <w:rsid w:val="0084717D"/>
    <w:rsid w:val="00860D56"/>
    <w:rsid w:val="008655C3"/>
    <w:rsid w:val="00866CFE"/>
    <w:rsid w:val="0086770C"/>
    <w:rsid w:val="00872A52"/>
    <w:rsid w:val="00883C27"/>
    <w:rsid w:val="008852E9"/>
    <w:rsid w:val="00885778"/>
    <w:rsid w:val="008859F6"/>
    <w:rsid w:val="008B392C"/>
    <w:rsid w:val="008B42A0"/>
    <w:rsid w:val="008B7044"/>
    <w:rsid w:val="008C2AC7"/>
    <w:rsid w:val="008D617E"/>
    <w:rsid w:val="008D658D"/>
    <w:rsid w:val="008F5343"/>
    <w:rsid w:val="00903992"/>
    <w:rsid w:val="00936D19"/>
    <w:rsid w:val="00943CEB"/>
    <w:rsid w:val="00957E69"/>
    <w:rsid w:val="00967A84"/>
    <w:rsid w:val="009976FA"/>
    <w:rsid w:val="009A2EF0"/>
    <w:rsid w:val="009B3FFD"/>
    <w:rsid w:val="009B49DC"/>
    <w:rsid w:val="009C67B5"/>
    <w:rsid w:val="009D2060"/>
    <w:rsid w:val="009D6A3D"/>
    <w:rsid w:val="009E0A01"/>
    <w:rsid w:val="009E3CE3"/>
    <w:rsid w:val="009E616C"/>
    <w:rsid w:val="00A01E31"/>
    <w:rsid w:val="00A1315F"/>
    <w:rsid w:val="00A218B9"/>
    <w:rsid w:val="00A25E9C"/>
    <w:rsid w:val="00A31759"/>
    <w:rsid w:val="00A419E5"/>
    <w:rsid w:val="00A41FC4"/>
    <w:rsid w:val="00A53369"/>
    <w:rsid w:val="00A60BA6"/>
    <w:rsid w:val="00A82EFC"/>
    <w:rsid w:val="00A912D2"/>
    <w:rsid w:val="00AA39E6"/>
    <w:rsid w:val="00AB3E67"/>
    <w:rsid w:val="00AB5113"/>
    <w:rsid w:val="00AB512B"/>
    <w:rsid w:val="00AC14DB"/>
    <w:rsid w:val="00AC2376"/>
    <w:rsid w:val="00AC5865"/>
    <w:rsid w:val="00AF6B0F"/>
    <w:rsid w:val="00B04A11"/>
    <w:rsid w:val="00B04C78"/>
    <w:rsid w:val="00B07D39"/>
    <w:rsid w:val="00B17344"/>
    <w:rsid w:val="00B23272"/>
    <w:rsid w:val="00B266C7"/>
    <w:rsid w:val="00B33F81"/>
    <w:rsid w:val="00B438BA"/>
    <w:rsid w:val="00B53572"/>
    <w:rsid w:val="00B550B7"/>
    <w:rsid w:val="00B7045E"/>
    <w:rsid w:val="00B73A37"/>
    <w:rsid w:val="00B7701A"/>
    <w:rsid w:val="00B77AE7"/>
    <w:rsid w:val="00B847FF"/>
    <w:rsid w:val="00B94A4B"/>
    <w:rsid w:val="00BA0F79"/>
    <w:rsid w:val="00BA462F"/>
    <w:rsid w:val="00BA4636"/>
    <w:rsid w:val="00BC0596"/>
    <w:rsid w:val="00BC17EF"/>
    <w:rsid w:val="00BC4D9E"/>
    <w:rsid w:val="00BF3512"/>
    <w:rsid w:val="00BF6420"/>
    <w:rsid w:val="00C169CA"/>
    <w:rsid w:val="00C16CFB"/>
    <w:rsid w:val="00C20CE1"/>
    <w:rsid w:val="00C336B8"/>
    <w:rsid w:val="00C342D0"/>
    <w:rsid w:val="00C36859"/>
    <w:rsid w:val="00C51F52"/>
    <w:rsid w:val="00C55DAA"/>
    <w:rsid w:val="00C65BB8"/>
    <w:rsid w:val="00C70DF4"/>
    <w:rsid w:val="00C72F8A"/>
    <w:rsid w:val="00C77298"/>
    <w:rsid w:val="00C82C5B"/>
    <w:rsid w:val="00C855B8"/>
    <w:rsid w:val="00C87C29"/>
    <w:rsid w:val="00C96867"/>
    <w:rsid w:val="00C9781D"/>
    <w:rsid w:val="00CA0366"/>
    <w:rsid w:val="00CB5C1E"/>
    <w:rsid w:val="00CC6AB2"/>
    <w:rsid w:val="00CD1214"/>
    <w:rsid w:val="00CE1362"/>
    <w:rsid w:val="00CE453B"/>
    <w:rsid w:val="00D234F3"/>
    <w:rsid w:val="00D27F28"/>
    <w:rsid w:val="00D345CB"/>
    <w:rsid w:val="00D36F70"/>
    <w:rsid w:val="00D43DAB"/>
    <w:rsid w:val="00D5087D"/>
    <w:rsid w:val="00D51FB2"/>
    <w:rsid w:val="00D62C71"/>
    <w:rsid w:val="00D71DB6"/>
    <w:rsid w:val="00D76AD9"/>
    <w:rsid w:val="00D84C99"/>
    <w:rsid w:val="00DB42C8"/>
    <w:rsid w:val="00DB4BDE"/>
    <w:rsid w:val="00DC520B"/>
    <w:rsid w:val="00DD3432"/>
    <w:rsid w:val="00DE2BFC"/>
    <w:rsid w:val="00DE3226"/>
    <w:rsid w:val="00DE45BB"/>
    <w:rsid w:val="00DE67F2"/>
    <w:rsid w:val="00DE6A99"/>
    <w:rsid w:val="00E11714"/>
    <w:rsid w:val="00E302AB"/>
    <w:rsid w:val="00E333B0"/>
    <w:rsid w:val="00E47680"/>
    <w:rsid w:val="00E5680E"/>
    <w:rsid w:val="00E73364"/>
    <w:rsid w:val="00E92869"/>
    <w:rsid w:val="00EA4D95"/>
    <w:rsid w:val="00ED2183"/>
    <w:rsid w:val="00ED28B2"/>
    <w:rsid w:val="00EF0269"/>
    <w:rsid w:val="00EF4A61"/>
    <w:rsid w:val="00EF7CC1"/>
    <w:rsid w:val="00F14897"/>
    <w:rsid w:val="00F15FF4"/>
    <w:rsid w:val="00F165A1"/>
    <w:rsid w:val="00F17920"/>
    <w:rsid w:val="00F20BDA"/>
    <w:rsid w:val="00F23757"/>
    <w:rsid w:val="00F24FD6"/>
    <w:rsid w:val="00F3150A"/>
    <w:rsid w:val="00F35477"/>
    <w:rsid w:val="00F42ED0"/>
    <w:rsid w:val="00F53F61"/>
    <w:rsid w:val="00F54125"/>
    <w:rsid w:val="00F70DA8"/>
    <w:rsid w:val="00F74153"/>
    <w:rsid w:val="00F75A69"/>
    <w:rsid w:val="00F8318E"/>
    <w:rsid w:val="00F93E94"/>
    <w:rsid w:val="00F960C8"/>
    <w:rsid w:val="00FA7224"/>
    <w:rsid w:val="00FB750E"/>
    <w:rsid w:val="00FC5AEF"/>
    <w:rsid w:val="00FD2EDF"/>
    <w:rsid w:val="00FD60AC"/>
    <w:rsid w:val="00FE70FB"/>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4B859"/>
  <w15:chartTrackingRefBased/>
  <w15:docId w15:val="{0EC93D72-DCA6-AA42-B042-83F645FBA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AE1"/>
    <w:rPr>
      <w:rFonts w:ascii="Times New Roman" w:eastAsia="Times New Roman" w:hAnsi="Times New Roman" w:cs="Times New Roman"/>
      <w:lang w:val="en-US"/>
    </w:rPr>
  </w:style>
  <w:style w:type="paragraph" w:styleId="Heading3">
    <w:name w:val="heading 3"/>
    <w:basedOn w:val="Normal"/>
    <w:next w:val="Normal"/>
    <w:link w:val="Heading3Char"/>
    <w:uiPriority w:val="9"/>
    <w:semiHidden/>
    <w:unhideWhenUsed/>
    <w:qFormat/>
    <w:rsid w:val="0023566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1506F0"/>
    <w:pPr>
      <w:pBdr>
        <w:top w:val="nil"/>
        <w:left w:val="nil"/>
        <w:bottom w:val="nil"/>
        <w:right w:val="nil"/>
        <w:between w:val="nil"/>
        <w:bar w:val="nil"/>
      </w:pBdr>
    </w:pPr>
    <w:rPr>
      <w:rFonts w:ascii="Trebuchet MS" w:eastAsia="Arial Unicode MS" w:hAnsi="Trebuchet MS" w:cs="Arial Unicode MS"/>
      <w:color w:val="000000"/>
      <w:u w:color="000000"/>
      <w:bdr w:val="nil"/>
      <w:lang w:val="en-US"/>
    </w:rPr>
  </w:style>
  <w:style w:type="character" w:styleId="PageNumber">
    <w:name w:val="page number"/>
    <w:rsid w:val="001506F0"/>
    <w:rPr>
      <w:lang w:val="en-US"/>
    </w:rPr>
  </w:style>
  <w:style w:type="numbering" w:customStyle="1" w:styleId="ImportedStyle4">
    <w:name w:val="Imported Style 4"/>
    <w:rsid w:val="001506F0"/>
    <w:pPr>
      <w:numPr>
        <w:numId w:val="1"/>
      </w:numPr>
    </w:pPr>
  </w:style>
  <w:style w:type="paragraph" w:customStyle="1" w:styleId="Footnote">
    <w:name w:val="Footnote"/>
    <w:rsid w:val="001506F0"/>
    <w:pPr>
      <w:pBdr>
        <w:top w:val="nil"/>
        <w:left w:val="nil"/>
        <w:bottom w:val="nil"/>
        <w:right w:val="nil"/>
        <w:between w:val="nil"/>
        <w:bar w:val="nil"/>
      </w:pBdr>
    </w:pPr>
    <w:rPr>
      <w:rFonts w:ascii="Helvetica" w:eastAsia="Helvetica" w:hAnsi="Helvetica" w:cs="Helvetica"/>
      <w:color w:val="000000"/>
      <w:sz w:val="22"/>
      <w:szCs w:val="22"/>
      <w:u w:color="000000"/>
      <w:bdr w:val="nil"/>
      <w:lang w:val="en-US"/>
    </w:rPr>
  </w:style>
  <w:style w:type="paragraph" w:styleId="FootnoteText">
    <w:name w:val="footnote text"/>
    <w:link w:val="FootnoteTextChar"/>
    <w:rsid w:val="001506F0"/>
    <w:pPr>
      <w:pBdr>
        <w:top w:val="nil"/>
        <w:left w:val="nil"/>
        <w:bottom w:val="nil"/>
        <w:right w:val="nil"/>
        <w:between w:val="nil"/>
        <w:bar w:val="nil"/>
      </w:pBdr>
    </w:pPr>
    <w:rPr>
      <w:rFonts w:ascii="Times New Roman" w:eastAsia="Times New Roman" w:hAnsi="Times New Roman" w:cs="Times New Roman"/>
      <w:color w:val="000000"/>
      <w:sz w:val="20"/>
      <w:szCs w:val="20"/>
      <w:u w:color="000000"/>
      <w:bdr w:val="nil"/>
      <w:lang w:val="en-US"/>
    </w:rPr>
  </w:style>
  <w:style w:type="character" w:customStyle="1" w:styleId="FootnoteTextChar">
    <w:name w:val="Footnote Text Char"/>
    <w:basedOn w:val="DefaultParagraphFont"/>
    <w:link w:val="FootnoteText"/>
    <w:rsid w:val="001506F0"/>
    <w:rPr>
      <w:rFonts w:ascii="Times New Roman" w:eastAsia="Times New Roman" w:hAnsi="Times New Roman" w:cs="Times New Roman"/>
      <w:color w:val="000000"/>
      <w:sz w:val="20"/>
      <w:szCs w:val="20"/>
      <w:u w:color="000000"/>
      <w:bdr w:val="nil"/>
      <w:lang w:val="en-US"/>
    </w:rPr>
  </w:style>
  <w:style w:type="paragraph" w:styleId="ListParagraph">
    <w:name w:val="List Paragraph"/>
    <w:basedOn w:val="Normal"/>
    <w:qFormat/>
    <w:rsid w:val="00EF0269"/>
    <w:pPr>
      <w:ind w:left="720"/>
      <w:contextualSpacing/>
    </w:pPr>
    <w:rPr>
      <w:rFonts w:asciiTheme="minorHAnsi" w:eastAsiaTheme="minorHAnsi" w:hAnsiTheme="minorHAnsi" w:cstheme="minorBidi"/>
    </w:rPr>
  </w:style>
  <w:style w:type="paragraph" w:customStyle="1" w:styleId="Default">
    <w:name w:val="Default"/>
    <w:rsid w:val="00D84C99"/>
    <w:pPr>
      <w:pBdr>
        <w:top w:val="nil"/>
        <w:left w:val="nil"/>
        <w:bottom w:val="nil"/>
        <w:right w:val="nil"/>
        <w:between w:val="nil"/>
        <w:bar w:val="nil"/>
      </w:pBdr>
    </w:pPr>
    <w:rPr>
      <w:rFonts w:ascii="Helvetica Neue" w:eastAsia="Arial Unicode MS" w:hAnsi="Helvetica Neue" w:cs="Arial Unicode MS"/>
      <w:color w:val="000000"/>
      <w:sz w:val="22"/>
      <w:szCs w:val="22"/>
      <w:bdr w:val="nil"/>
      <w:lang w:val="es-ES_tradnl"/>
      <w14:textOutline w14:w="0" w14:cap="flat" w14:cmpd="sng" w14:algn="ctr">
        <w14:noFill/>
        <w14:prstDash w14:val="solid"/>
        <w14:bevel/>
      </w14:textOutline>
    </w:rPr>
  </w:style>
  <w:style w:type="character" w:styleId="Hyperlink">
    <w:name w:val="Hyperlink"/>
    <w:basedOn w:val="DefaultParagraphFont"/>
    <w:uiPriority w:val="99"/>
    <w:unhideWhenUsed/>
    <w:rsid w:val="00C169CA"/>
    <w:rPr>
      <w:color w:val="0563C1" w:themeColor="hyperlink"/>
      <w:u w:val="single"/>
    </w:rPr>
  </w:style>
  <w:style w:type="character" w:customStyle="1" w:styleId="Mencinsinresolver1">
    <w:name w:val="Mención sin resolver1"/>
    <w:basedOn w:val="DefaultParagraphFont"/>
    <w:uiPriority w:val="99"/>
    <w:semiHidden/>
    <w:unhideWhenUsed/>
    <w:rsid w:val="00C169CA"/>
    <w:rPr>
      <w:color w:val="605E5C"/>
      <w:shd w:val="clear" w:color="auto" w:fill="E1DFDD"/>
    </w:rPr>
  </w:style>
  <w:style w:type="character" w:customStyle="1" w:styleId="apple-converted-space">
    <w:name w:val="apple-converted-space"/>
    <w:basedOn w:val="DefaultParagraphFont"/>
    <w:rsid w:val="000F0DCB"/>
  </w:style>
  <w:style w:type="character" w:styleId="CommentReference">
    <w:name w:val="annotation reference"/>
    <w:basedOn w:val="DefaultParagraphFont"/>
    <w:uiPriority w:val="99"/>
    <w:semiHidden/>
    <w:unhideWhenUsed/>
    <w:rsid w:val="00210691"/>
    <w:rPr>
      <w:sz w:val="16"/>
      <w:szCs w:val="16"/>
    </w:rPr>
  </w:style>
  <w:style w:type="paragraph" w:styleId="CommentText">
    <w:name w:val="annotation text"/>
    <w:basedOn w:val="Normal"/>
    <w:link w:val="CommentTextChar"/>
    <w:uiPriority w:val="99"/>
    <w:semiHidden/>
    <w:unhideWhenUsed/>
    <w:rsid w:val="00210691"/>
    <w:rPr>
      <w:sz w:val="20"/>
      <w:szCs w:val="20"/>
    </w:rPr>
  </w:style>
  <w:style w:type="character" w:customStyle="1" w:styleId="CommentTextChar">
    <w:name w:val="Comment Text Char"/>
    <w:basedOn w:val="DefaultParagraphFont"/>
    <w:link w:val="CommentText"/>
    <w:uiPriority w:val="99"/>
    <w:semiHidden/>
    <w:rsid w:val="0021069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10691"/>
    <w:rPr>
      <w:b/>
      <w:bCs/>
    </w:rPr>
  </w:style>
  <w:style w:type="character" w:customStyle="1" w:styleId="CommentSubjectChar">
    <w:name w:val="Comment Subject Char"/>
    <w:basedOn w:val="CommentTextChar"/>
    <w:link w:val="CommentSubject"/>
    <w:uiPriority w:val="99"/>
    <w:semiHidden/>
    <w:rsid w:val="00210691"/>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2106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691"/>
    <w:rPr>
      <w:rFonts w:ascii="Segoe UI" w:eastAsia="Times New Roman" w:hAnsi="Segoe UI" w:cs="Segoe UI"/>
      <w:sz w:val="18"/>
      <w:szCs w:val="18"/>
      <w:lang w:val="en-US"/>
    </w:rPr>
  </w:style>
  <w:style w:type="character" w:styleId="FootnoteReference">
    <w:name w:val="footnote reference"/>
    <w:basedOn w:val="DefaultParagraphFont"/>
    <w:uiPriority w:val="99"/>
    <w:unhideWhenUsed/>
    <w:rsid w:val="00C855B8"/>
    <w:rPr>
      <w:vertAlign w:val="superscript"/>
    </w:rPr>
  </w:style>
  <w:style w:type="paragraph" w:styleId="Header">
    <w:name w:val="header"/>
    <w:basedOn w:val="Normal"/>
    <w:link w:val="HeaderChar"/>
    <w:uiPriority w:val="99"/>
    <w:unhideWhenUsed/>
    <w:rsid w:val="00695948"/>
    <w:pPr>
      <w:tabs>
        <w:tab w:val="center" w:pos="4680"/>
        <w:tab w:val="right" w:pos="9360"/>
      </w:tabs>
    </w:pPr>
  </w:style>
  <w:style w:type="character" w:customStyle="1" w:styleId="HeaderChar">
    <w:name w:val="Header Char"/>
    <w:basedOn w:val="DefaultParagraphFont"/>
    <w:link w:val="Header"/>
    <w:uiPriority w:val="99"/>
    <w:rsid w:val="00695948"/>
    <w:rPr>
      <w:rFonts w:ascii="Times New Roman" w:eastAsia="Times New Roman" w:hAnsi="Times New Roman" w:cs="Times New Roman"/>
      <w:lang w:val="en-US"/>
    </w:rPr>
  </w:style>
  <w:style w:type="paragraph" w:styleId="Footer">
    <w:name w:val="footer"/>
    <w:basedOn w:val="Normal"/>
    <w:link w:val="FooterChar"/>
    <w:uiPriority w:val="99"/>
    <w:unhideWhenUsed/>
    <w:rsid w:val="00695948"/>
    <w:pPr>
      <w:tabs>
        <w:tab w:val="center" w:pos="4680"/>
        <w:tab w:val="right" w:pos="9360"/>
      </w:tabs>
    </w:pPr>
  </w:style>
  <w:style w:type="character" w:customStyle="1" w:styleId="FooterChar">
    <w:name w:val="Footer Char"/>
    <w:basedOn w:val="DefaultParagraphFont"/>
    <w:link w:val="Footer"/>
    <w:uiPriority w:val="99"/>
    <w:rsid w:val="00695948"/>
    <w:rPr>
      <w:rFonts w:ascii="Times New Roman" w:eastAsia="Times New Roman" w:hAnsi="Times New Roman" w:cs="Times New Roman"/>
      <w:lang w:val="en-US"/>
    </w:rPr>
  </w:style>
  <w:style w:type="paragraph" w:styleId="NormalWeb">
    <w:name w:val="Normal (Web)"/>
    <w:basedOn w:val="Normal"/>
    <w:uiPriority w:val="99"/>
    <w:unhideWhenUsed/>
    <w:rsid w:val="001B3BAB"/>
    <w:pPr>
      <w:spacing w:before="100" w:beforeAutospacing="1" w:after="100" w:afterAutospacing="1"/>
    </w:pPr>
    <w:rPr>
      <w:lang w:val="es-US" w:eastAsia="es-ES_tradnl"/>
    </w:rPr>
  </w:style>
  <w:style w:type="character" w:customStyle="1" w:styleId="markzojk7twmp">
    <w:name w:val="markzojk7twmp"/>
    <w:basedOn w:val="DefaultParagraphFont"/>
    <w:rsid w:val="003203AC"/>
  </w:style>
  <w:style w:type="character" w:customStyle="1" w:styleId="markur2hlnnp1">
    <w:name w:val="markur2hlnnp1"/>
    <w:basedOn w:val="DefaultParagraphFont"/>
    <w:rsid w:val="00051FFD"/>
  </w:style>
  <w:style w:type="paragraph" w:styleId="Revision">
    <w:name w:val="Revision"/>
    <w:hidden/>
    <w:uiPriority w:val="99"/>
    <w:semiHidden/>
    <w:rsid w:val="0072674B"/>
    <w:rPr>
      <w:rFonts w:ascii="Times New Roman" w:eastAsia="Times New Roman" w:hAnsi="Times New Roman" w:cs="Times New Roman"/>
      <w:lang w:val="en-US"/>
    </w:rPr>
  </w:style>
  <w:style w:type="character" w:customStyle="1" w:styleId="UnresolvedMention1">
    <w:name w:val="Unresolved Mention1"/>
    <w:basedOn w:val="DefaultParagraphFont"/>
    <w:uiPriority w:val="99"/>
    <w:rsid w:val="00C36859"/>
    <w:rPr>
      <w:color w:val="605E5C"/>
      <w:shd w:val="clear" w:color="auto" w:fill="E1DFDD"/>
    </w:rPr>
  </w:style>
  <w:style w:type="character" w:customStyle="1" w:styleId="Heading3Char">
    <w:name w:val="Heading 3 Char"/>
    <w:basedOn w:val="DefaultParagraphFont"/>
    <w:link w:val="Heading3"/>
    <w:uiPriority w:val="9"/>
    <w:semiHidden/>
    <w:rsid w:val="0023566F"/>
    <w:rPr>
      <w:rFonts w:asciiTheme="majorHAnsi" w:eastAsiaTheme="majorEastAsia" w:hAnsiTheme="majorHAnsi" w:cstheme="majorBidi"/>
      <w:color w:val="1F3763" w:themeColor="accent1" w:themeShade="7F"/>
      <w:lang w:val="en-US"/>
    </w:rPr>
  </w:style>
  <w:style w:type="character" w:styleId="FollowedHyperlink">
    <w:name w:val="FollowedHyperlink"/>
    <w:basedOn w:val="DefaultParagraphFont"/>
    <w:uiPriority w:val="99"/>
    <w:semiHidden/>
    <w:unhideWhenUsed/>
    <w:rsid w:val="00D76AD9"/>
    <w:rPr>
      <w:color w:val="954F72" w:themeColor="followedHyperlink"/>
      <w:u w:val="single"/>
    </w:rPr>
  </w:style>
  <w:style w:type="table" w:styleId="TableGrid">
    <w:name w:val="Table Grid"/>
    <w:basedOn w:val="TableNormal"/>
    <w:uiPriority w:val="39"/>
    <w:rsid w:val="00783C6A"/>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rsid w:val="00390F6E"/>
    <w:rPr>
      <w:color w:val="605E5C"/>
      <w:shd w:val="clear" w:color="auto" w:fill="E1DFDD"/>
    </w:rPr>
  </w:style>
  <w:style w:type="numbering" w:customStyle="1" w:styleId="Numbered">
    <w:name w:val="Numbered"/>
    <w:rsid w:val="00760A48"/>
    <w:pPr>
      <w:numPr>
        <w:numId w:val="7"/>
      </w:numPr>
    </w:pPr>
  </w:style>
  <w:style w:type="character" w:styleId="UnresolvedMention">
    <w:name w:val="Unresolved Mention"/>
    <w:basedOn w:val="DefaultParagraphFont"/>
    <w:uiPriority w:val="99"/>
    <w:semiHidden/>
    <w:unhideWhenUsed/>
    <w:rsid w:val="006F67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05699">
      <w:bodyDiv w:val="1"/>
      <w:marLeft w:val="0"/>
      <w:marRight w:val="0"/>
      <w:marTop w:val="0"/>
      <w:marBottom w:val="0"/>
      <w:divBdr>
        <w:top w:val="none" w:sz="0" w:space="0" w:color="auto"/>
        <w:left w:val="none" w:sz="0" w:space="0" w:color="auto"/>
        <w:bottom w:val="none" w:sz="0" w:space="0" w:color="auto"/>
        <w:right w:val="none" w:sz="0" w:space="0" w:color="auto"/>
      </w:divBdr>
    </w:div>
    <w:div w:id="48572790">
      <w:bodyDiv w:val="1"/>
      <w:marLeft w:val="0"/>
      <w:marRight w:val="0"/>
      <w:marTop w:val="0"/>
      <w:marBottom w:val="0"/>
      <w:divBdr>
        <w:top w:val="none" w:sz="0" w:space="0" w:color="auto"/>
        <w:left w:val="none" w:sz="0" w:space="0" w:color="auto"/>
        <w:bottom w:val="none" w:sz="0" w:space="0" w:color="auto"/>
        <w:right w:val="none" w:sz="0" w:space="0" w:color="auto"/>
      </w:divBdr>
    </w:div>
    <w:div w:id="66267886">
      <w:bodyDiv w:val="1"/>
      <w:marLeft w:val="0"/>
      <w:marRight w:val="0"/>
      <w:marTop w:val="0"/>
      <w:marBottom w:val="0"/>
      <w:divBdr>
        <w:top w:val="none" w:sz="0" w:space="0" w:color="auto"/>
        <w:left w:val="none" w:sz="0" w:space="0" w:color="auto"/>
        <w:bottom w:val="none" w:sz="0" w:space="0" w:color="auto"/>
        <w:right w:val="none" w:sz="0" w:space="0" w:color="auto"/>
      </w:divBdr>
    </w:div>
    <w:div w:id="77555493">
      <w:bodyDiv w:val="1"/>
      <w:marLeft w:val="0"/>
      <w:marRight w:val="0"/>
      <w:marTop w:val="0"/>
      <w:marBottom w:val="0"/>
      <w:divBdr>
        <w:top w:val="none" w:sz="0" w:space="0" w:color="auto"/>
        <w:left w:val="none" w:sz="0" w:space="0" w:color="auto"/>
        <w:bottom w:val="none" w:sz="0" w:space="0" w:color="auto"/>
        <w:right w:val="none" w:sz="0" w:space="0" w:color="auto"/>
      </w:divBdr>
    </w:div>
    <w:div w:id="277564887">
      <w:bodyDiv w:val="1"/>
      <w:marLeft w:val="0"/>
      <w:marRight w:val="0"/>
      <w:marTop w:val="0"/>
      <w:marBottom w:val="0"/>
      <w:divBdr>
        <w:top w:val="none" w:sz="0" w:space="0" w:color="auto"/>
        <w:left w:val="none" w:sz="0" w:space="0" w:color="auto"/>
        <w:bottom w:val="none" w:sz="0" w:space="0" w:color="auto"/>
        <w:right w:val="none" w:sz="0" w:space="0" w:color="auto"/>
      </w:divBdr>
    </w:div>
    <w:div w:id="318072203">
      <w:bodyDiv w:val="1"/>
      <w:marLeft w:val="0"/>
      <w:marRight w:val="0"/>
      <w:marTop w:val="0"/>
      <w:marBottom w:val="0"/>
      <w:divBdr>
        <w:top w:val="none" w:sz="0" w:space="0" w:color="auto"/>
        <w:left w:val="none" w:sz="0" w:space="0" w:color="auto"/>
        <w:bottom w:val="none" w:sz="0" w:space="0" w:color="auto"/>
        <w:right w:val="none" w:sz="0" w:space="0" w:color="auto"/>
      </w:divBdr>
    </w:div>
    <w:div w:id="361829959">
      <w:bodyDiv w:val="1"/>
      <w:marLeft w:val="0"/>
      <w:marRight w:val="0"/>
      <w:marTop w:val="0"/>
      <w:marBottom w:val="0"/>
      <w:divBdr>
        <w:top w:val="none" w:sz="0" w:space="0" w:color="auto"/>
        <w:left w:val="none" w:sz="0" w:space="0" w:color="auto"/>
        <w:bottom w:val="none" w:sz="0" w:space="0" w:color="auto"/>
        <w:right w:val="none" w:sz="0" w:space="0" w:color="auto"/>
      </w:divBdr>
    </w:div>
    <w:div w:id="385030981">
      <w:bodyDiv w:val="1"/>
      <w:marLeft w:val="0"/>
      <w:marRight w:val="0"/>
      <w:marTop w:val="0"/>
      <w:marBottom w:val="0"/>
      <w:divBdr>
        <w:top w:val="none" w:sz="0" w:space="0" w:color="auto"/>
        <w:left w:val="none" w:sz="0" w:space="0" w:color="auto"/>
        <w:bottom w:val="none" w:sz="0" w:space="0" w:color="auto"/>
        <w:right w:val="none" w:sz="0" w:space="0" w:color="auto"/>
      </w:divBdr>
    </w:div>
    <w:div w:id="385110159">
      <w:bodyDiv w:val="1"/>
      <w:marLeft w:val="0"/>
      <w:marRight w:val="0"/>
      <w:marTop w:val="0"/>
      <w:marBottom w:val="0"/>
      <w:divBdr>
        <w:top w:val="none" w:sz="0" w:space="0" w:color="auto"/>
        <w:left w:val="none" w:sz="0" w:space="0" w:color="auto"/>
        <w:bottom w:val="none" w:sz="0" w:space="0" w:color="auto"/>
        <w:right w:val="none" w:sz="0" w:space="0" w:color="auto"/>
      </w:divBdr>
    </w:div>
    <w:div w:id="543172697">
      <w:bodyDiv w:val="1"/>
      <w:marLeft w:val="0"/>
      <w:marRight w:val="0"/>
      <w:marTop w:val="0"/>
      <w:marBottom w:val="0"/>
      <w:divBdr>
        <w:top w:val="none" w:sz="0" w:space="0" w:color="auto"/>
        <w:left w:val="none" w:sz="0" w:space="0" w:color="auto"/>
        <w:bottom w:val="none" w:sz="0" w:space="0" w:color="auto"/>
        <w:right w:val="none" w:sz="0" w:space="0" w:color="auto"/>
      </w:divBdr>
    </w:div>
    <w:div w:id="706444663">
      <w:bodyDiv w:val="1"/>
      <w:marLeft w:val="0"/>
      <w:marRight w:val="0"/>
      <w:marTop w:val="0"/>
      <w:marBottom w:val="0"/>
      <w:divBdr>
        <w:top w:val="none" w:sz="0" w:space="0" w:color="auto"/>
        <w:left w:val="none" w:sz="0" w:space="0" w:color="auto"/>
        <w:bottom w:val="none" w:sz="0" w:space="0" w:color="auto"/>
        <w:right w:val="none" w:sz="0" w:space="0" w:color="auto"/>
      </w:divBdr>
    </w:div>
    <w:div w:id="742487768">
      <w:bodyDiv w:val="1"/>
      <w:marLeft w:val="0"/>
      <w:marRight w:val="0"/>
      <w:marTop w:val="0"/>
      <w:marBottom w:val="0"/>
      <w:divBdr>
        <w:top w:val="none" w:sz="0" w:space="0" w:color="auto"/>
        <w:left w:val="none" w:sz="0" w:space="0" w:color="auto"/>
        <w:bottom w:val="none" w:sz="0" w:space="0" w:color="auto"/>
        <w:right w:val="none" w:sz="0" w:space="0" w:color="auto"/>
      </w:divBdr>
    </w:div>
    <w:div w:id="761756241">
      <w:bodyDiv w:val="1"/>
      <w:marLeft w:val="0"/>
      <w:marRight w:val="0"/>
      <w:marTop w:val="0"/>
      <w:marBottom w:val="0"/>
      <w:divBdr>
        <w:top w:val="none" w:sz="0" w:space="0" w:color="auto"/>
        <w:left w:val="none" w:sz="0" w:space="0" w:color="auto"/>
        <w:bottom w:val="none" w:sz="0" w:space="0" w:color="auto"/>
        <w:right w:val="none" w:sz="0" w:space="0" w:color="auto"/>
      </w:divBdr>
    </w:div>
    <w:div w:id="833761572">
      <w:bodyDiv w:val="1"/>
      <w:marLeft w:val="0"/>
      <w:marRight w:val="0"/>
      <w:marTop w:val="0"/>
      <w:marBottom w:val="0"/>
      <w:divBdr>
        <w:top w:val="none" w:sz="0" w:space="0" w:color="auto"/>
        <w:left w:val="none" w:sz="0" w:space="0" w:color="auto"/>
        <w:bottom w:val="none" w:sz="0" w:space="0" w:color="auto"/>
        <w:right w:val="none" w:sz="0" w:space="0" w:color="auto"/>
      </w:divBdr>
    </w:div>
    <w:div w:id="856773566">
      <w:bodyDiv w:val="1"/>
      <w:marLeft w:val="0"/>
      <w:marRight w:val="0"/>
      <w:marTop w:val="0"/>
      <w:marBottom w:val="0"/>
      <w:divBdr>
        <w:top w:val="none" w:sz="0" w:space="0" w:color="auto"/>
        <w:left w:val="none" w:sz="0" w:space="0" w:color="auto"/>
        <w:bottom w:val="none" w:sz="0" w:space="0" w:color="auto"/>
        <w:right w:val="none" w:sz="0" w:space="0" w:color="auto"/>
      </w:divBdr>
    </w:div>
    <w:div w:id="863445867">
      <w:bodyDiv w:val="1"/>
      <w:marLeft w:val="0"/>
      <w:marRight w:val="0"/>
      <w:marTop w:val="0"/>
      <w:marBottom w:val="0"/>
      <w:divBdr>
        <w:top w:val="none" w:sz="0" w:space="0" w:color="auto"/>
        <w:left w:val="none" w:sz="0" w:space="0" w:color="auto"/>
        <w:bottom w:val="none" w:sz="0" w:space="0" w:color="auto"/>
        <w:right w:val="none" w:sz="0" w:space="0" w:color="auto"/>
      </w:divBdr>
    </w:div>
    <w:div w:id="885720473">
      <w:bodyDiv w:val="1"/>
      <w:marLeft w:val="0"/>
      <w:marRight w:val="0"/>
      <w:marTop w:val="0"/>
      <w:marBottom w:val="0"/>
      <w:divBdr>
        <w:top w:val="none" w:sz="0" w:space="0" w:color="auto"/>
        <w:left w:val="none" w:sz="0" w:space="0" w:color="auto"/>
        <w:bottom w:val="none" w:sz="0" w:space="0" w:color="auto"/>
        <w:right w:val="none" w:sz="0" w:space="0" w:color="auto"/>
      </w:divBdr>
    </w:div>
    <w:div w:id="885802786">
      <w:bodyDiv w:val="1"/>
      <w:marLeft w:val="0"/>
      <w:marRight w:val="0"/>
      <w:marTop w:val="0"/>
      <w:marBottom w:val="0"/>
      <w:divBdr>
        <w:top w:val="none" w:sz="0" w:space="0" w:color="auto"/>
        <w:left w:val="none" w:sz="0" w:space="0" w:color="auto"/>
        <w:bottom w:val="none" w:sz="0" w:space="0" w:color="auto"/>
        <w:right w:val="none" w:sz="0" w:space="0" w:color="auto"/>
      </w:divBdr>
    </w:div>
    <w:div w:id="951520088">
      <w:bodyDiv w:val="1"/>
      <w:marLeft w:val="0"/>
      <w:marRight w:val="0"/>
      <w:marTop w:val="0"/>
      <w:marBottom w:val="0"/>
      <w:divBdr>
        <w:top w:val="none" w:sz="0" w:space="0" w:color="auto"/>
        <w:left w:val="none" w:sz="0" w:space="0" w:color="auto"/>
        <w:bottom w:val="none" w:sz="0" w:space="0" w:color="auto"/>
        <w:right w:val="none" w:sz="0" w:space="0" w:color="auto"/>
      </w:divBdr>
    </w:div>
    <w:div w:id="969087713">
      <w:bodyDiv w:val="1"/>
      <w:marLeft w:val="0"/>
      <w:marRight w:val="0"/>
      <w:marTop w:val="0"/>
      <w:marBottom w:val="0"/>
      <w:divBdr>
        <w:top w:val="none" w:sz="0" w:space="0" w:color="auto"/>
        <w:left w:val="none" w:sz="0" w:space="0" w:color="auto"/>
        <w:bottom w:val="none" w:sz="0" w:space="0" w:color="auto"/>
        <w:right w:val="none" w:sz="0" w:space="0" w:color="auto"/>
      </w:divBdr>
    </w:div>
    <w:div w:id="980034767">
      <w:bodyDiv w:val="1"/>
      <w:marLeft w:val="0"/>
      <w:marRight w:val="0"/>
      <w:marTop w:val="0"/>
      <w:marBottom w:val="0"/>
      <w:divBdr>
        <w:top w:val="none" w:sz="0" w:space="0" w:color="auto"/>
        <w:left w:val="none" w:sz="0" w:space="0" w:color="auto"/>
        <w:bottom w:val="none" w:sz="0" w:space="0" w:color="auto"/>
        <w:right w:val="none" w:sz="0" w:space="0" w:color="auto"/>
      </w:divBdr>
    </w:div>
    <w:div w:id="1090807224">
      <w:bodyDiv w:val="1"/>
      <w:marLeft w:val="0"/>
      <w:marRight w:val="0"/>
      <w:marTop w:val="0"/>
      <w:marBottom w:val="0"/>
      <w:divBdr>
        <w:top w:val="none" w:sz="0" w:space="0" w:color="auto"/>
        <w:left w:val="none" w:sz="0" w:space="0" w:color="auto"/>
        <w:bottom w:val="none" w:sz="0" w:space="0" w:color="auto"/>
        <w:right w:val="none" w:sz="0" w:space="0" w:color="auto"/>
      </w:divBdr>
    </w:div>
    <w:div w:id="1131364951">
      <w:bodyDiv w:val="1"/>
      <w:marLeft w:val="0"/>
      <w:marRight w:val="0"/>
      <w:marTop w:val="0"/>
      <w:marBottom w:val="0"/>
      <w:divBdr>
        <w:top w:val="none" w:sz="0" w:space="0" w:color="auto"/>
        <w:left w:val="none" w:sz="0" w:space="0" w:color="auto"/>
        <w:bottom w:val="none" w:sz="0" w:space="0" w:color="auto"/>
        <w:right w:val="none" w:sz="0" w:space="0" w:color="auto"/>
      </w:divBdr>
    </w:div>
    <w:div w:id="1192189028">
      <w:bodyDiv w:val="1"/>
      <w:marLeft w:val="0"/>
      <w:marRight w:val="0"/>
      <w:marTop w:val="0"/>
      <w:marBottom w:val="0"/>
      <w:divBdr>
        <w:top w:val="none" w:sz="0" w:space="0" w:color="auto"/>
        <w:left w:val="none" w:sz="0" w:space="0" w:color="auto"/>
        <w:bottom w:val="none" w:sz="0" w:space="0" w:color="auto"/>
        <w:right w:val="none" w:sz="0" w:space="0" w:color="auto"/>
      </w:divBdr>
    </w:div>
    <w:div w:id="1230068689">
      <w:bodyDiv w:val="1"/>
      <w:marLeft w:val="0"/>
      <w:marRight w:val="0"/>
      <w:marTop w:val="0"/>
      <w:marBottom w:val="0"/>
      <w:divBdr>
        <w:top w:val="none" w:sz="0" w:space="0" w:color="auto"/>
        <w:left w:val="none" w:sz="0" w:space="0" w:color="auto"/>
        <w:bottom w:val="none" w:sz="0" w:space="0" w:color="auto"/>
        <w:right w:val="none" w:sz="0" w:space="0" w:color="auto"/>
      </w:divBdr>
    </w:div>
    <w:div w:id="1234051188">
      <w:bodyDiv w:val="1"/>
      <w:marLeft w:val="0"/>
      <w:marRight w:val="0"/>
      <w:marTop w:val="0"/>
      <w:marBottom w:val="0"/>
      <w:divBdr>
        <w:top w:val="none" w:sz="0" w:space="0" w:color="auto"/>
        <w:left w:val="none" w:sz="0" w:space="0" w:color="auto"/>
        <w:bottom w:val="none" w:sz="0" w:space="0" w:color="auto"/>
        <w:right w:val="none" w:sz="0" w:space="0" w:color="auto"/>
      </w:divBdr>
    </w:div>
    <w:div w:id="1234849597">
      <w:bodyDiv w:val="1"/>
      <w:marLeft w:val="0"/>
      <w:marRight w:val="0"/>
      <w:marTop w:val="0"/>
      <w:marBottom w:val="0"/>
      <w:divBdr>
        <w:top w:val="none" w:sz="0" w:space="0" w:color="auto"/>
        <w:left w:val="none" w:sz="0" w:space="0" w:color="auto"/>
        <w:bottom w:val="none" w:sz="0" w:space="0" w:color="auto"/>
        <w:right w:val="none" w:sz="0" w:space="0" w:color="auto"/>
      </w:divBdr>
    </w:div>
    <w:div w:id="1355035818">
      <w:bodyDiv w:val="1"/>
      <w:marLeft w:val="0"/>
      <w:marRight w:val="0"/>
      <w:marTop w:val="0"/>
      <w:marBottom w:val="0"/>
      <w:divBdr>
        <w:top w:val="none" w:sz="0" w:space="0" w:color="auto"/>
        <w:left w:val="none" w:sz="0" w:space="0" w:color="auto"/>
        <w:bottom w:val="none" w:sz="0" w:space="0" w:color="auto"/>
        <w:right w:val="none" w:sz="0" w:space="0" w:color="auto"/>
      </w:divBdr>
    </w:div>
    <w:div w:id="1365322892">
      <w:bodyDiv w:val="1"/>
      <w:marLeft w:val="0"/>
      <w:marRight w:val="0"/>
      <w:marTop w:val="0"/>
      <w:marBottom w:val="0"/>
      <w:divBdr>
        <w:top w:val="none" w:sz="0" w:space="0" w:color="auto"/>
        <w:left w:val="none" w:sz="0" w:space="0" w:color="auto"/>
        <w:bottom w:val="none" w:sz="0" w:space="0" w:color="auto"/>
        <w:right w:val="none" w:sz="0" w:space="0" w:color="auto"/>
      </w:divBdr>
    </w:div>
    <w:div w:id="1385178128">
      <w:bodyDiv w:val="1"/>
      <w:marLeft w:val="0"/>
      <w:marRight w:val="0"/>
      <w:marTop w:val="0"/>
      <w:marBottom w:val="0"/>
      <w:divBdr>
        <w:top w:val="none" w:sz="0" w:space="0" w:color="auto"/>
        <w:left w:val="none" w:sz="0" w:space="0" w:color="auto"/>
        <w:bottom w:val="none" w:sz="0" w:space="0" w:color="auto"/>
        <w:right w:val="none" w:sz="0" w:space="0" w:color="auto"/>
      </w:divBdr>
    </w:div>
    <w:div w:id="1403718177">
      <w:bodyDiv w:val="1"/>
      <w:marLeft w:val="0"/>
      <w:marRight w:val="0"/>
      <w:marTop w:val="0"/>
      <w:marBottom w:val="0"/>
      <w:divBdr>
        <w:top w:val="none" w:sz="0" w:space="0" w:color="auto"/>
        <w:left w:val="none" w:sz="0" w:space="0" w:color="auto"/>
        <w:bottom w:val="none" w:sz="0" w:space="0" w:color="auto"/>
        <w:right w:val="none" w:sz="0" w:space="0" w:color="auto"/>
      </w:divBdr>
    </w:div>
    <w:div w:id="1545479701">
      <w:bodyDiv w:val="1"/>
      <w:marLeft w:val="0"/>
      <w:marRight w:val="0"/>
      <w:marTop w:val="0"/>
      <w:marBottom w:val="0"/>
      <w:divBdr>
        <w:top w:val="none" w:sz="0" w:space="0" w:color="auto"/>
        <w:left w:val="none" w:sz="0" w:space="0" w:color="auto"/>
        <w:bottom w:val="none" w:sz="0" w:space="0" w:color="auto"/>
        <w:right w:val="none" w:sz="0" w:space="0" w:color="auto"/>
      </w:divBdr>
    </w:div>
    <w:div w:id="1566799377">
      <w:bodyDiv w:val="1"/>
      <w:marLeft w:val="0"/>
      <w:marRight w:val="0"/>
      <w:marTop w:val="0"/>
      <w:marBottom w:val="0"/>
      <w:divBdr>
        <w:top w:val="none" w:sz="0" w:space="0" w:color="auto"/>
        <w:left w:val="none" w:sz="0" w:space="0" w:color="auto"/>
        <w:bottom w:val="none" w:sz="0" w:space="0" w:color="auto"/>
        <w:right w:val="none" w:sz="0" w:space="0" w:color="auto"/>
      </w:divBdr>
    </w:div>
    <w:div w:id="1696300168">
      <w:bodyDiv w:val="1"/>
      <w:marLeft w:val="0"/>
      <w:marRight w:val="0"/>
      <w:marTop w:val="0"/>
      <w:marBottom w:val="0"/>
      <w:divBdr>
        <w:top w:val="none" w:sz="0" w:space="0" w:color="auto"/>
        <w:left w:val="none" w:sz="0" w:space="0" w:color="auto"/>
        <w:bottom w:val="none" w:sz="0" w:space="0" w:color="auto"/>
        <w:right w:val="none" w:sz="0" w:space="0" w:color="auto"/>
      </w:divBdr>
    </w:div>
    <w:div w:id="1711106786">
      <w:bodyDiv w:val="1"/>
      <w:marLeft w:val="0"/>
      <w:marRight w:val="0"/>
      <w:marTop w:val="0"/>
      <w:marBottom w:val="0"/>
      <w:divBdr>
        <w:top w:val="none" w:sz="0" w:space="0" w:color="auto"/>
        <w:left w:val="none" w:sz="0" w:space="0" w:color="auto"/>
        <w:bottom w:val="none" w:sz="0" w:space="0" w:color="auto"/>
        <w:right w:val="none" w:sz="0" w:space="0" w:color="auto"/>
      </w:divBdr>
    </w:div>
    <w:div w:id="1749617546">
      <w:bodyDiv w:val="1"/>
      <w:marLeft w:val="0"/>
      <w:marRight w:val="0"/>
      <w:marTop w:val="0"/>
      <w:marBottom w:val="0"/>
      <w:divBdr>
        <w:top w:val="none" w:sz="0" w:space="0" w:color="auto"/>
        <w:left w:val="none" w:sz="0" w:space="0" w:color="auto"/>
        <w:bottom w:val="none" w:sz="0" w:space="0" w:color="auto"/>
        <w:right w:val="none" w:sz="0" w:space="0" w:color="auto"/>
      </w:divBdr>
    </w:div>
    <w:div w:id="1817331843">
      <w:bodyDiv w:val="1"/>
      <w:marLeft w:val="0"/>
      <w:marRight w:val="0"/>
      <w:marTop w:val="0"/>
      <w:marBottom w:val="0"/>
      <w:divBdr>
        <w:top w:val="none" w:sz="0" w:space="0" w:color="auto"/>
        <w:left w:val="none" w:sz="0" w:space="0" w:color="auto"/>
        <w:bottom w:val="none" w:sz="0" w:space="0" w:color="auto"/>
        <w:right w:val="none" w:sz="0" w:space="0" w:color="auto"/>
      </w:divBdr>
    </w:div>
    <w:div w:id="1819759021">
      <w:bodyDiv w:val="1"/>
      <w:marLeft w:val="0"/>
      <w:marRight w:val="0"/>
      <w:marTop w:val="0"/>
      <w:marBottom w:val="0"/>
      <w:divBdr>
        <w:top w:val="none" w:sz="0" w:space="0" w:color="auto"/>
        <w:left w:val="none" w:sz="0" w:space="0" w:color="auto"/>
        <w:bottom w:val="none" w:sz="0" w:space="0" w:color="auto"/>
        <w:right w:val="none" w:sz="0" w:space="0" w:color="auto"/>
      </w:divBdr>
    </w:div>
    <w:div w:id="1860466068">
      <w:bodyDiv w:val="1"/>
      <w:marLeft w:val="0"/>
      <w:marRight w:val="0"/>
      <w:marTop w:val="0"/>
      <w:marBottom w:val="0"/>
      <w:divBdr>
        <w:top w:val="none" w:sz="0" w:space="0" w:color="auto"/>
        <w:left w:val="none" w:sz="0" w:space="0" w:color="auto"/>
        <w:bottom w:val="none" w:sz="0" w:space="0" w:color="auto"/>
        <w:right w:val="none" w:sz="0" w:space="0" w:color="auto"/>
      </w:divBdr>
    </w:div>
    <w:div w:id="1927300920">
      <w:bodyDiv w:val="1"/>
      <w:marLeft w:val="0"/>
      <w:marRight w:val="0"/>
      <w:marTop w:val="0"/>
      <w:marBottom w:val="0"/>
      <w:divBdr>
        <w:top w:val="none" w:sz="0" w:space="0" w:color="auto"/>
        <w:left w:val="none" w:sz="0" w:space="0" w:color="auto"/>
        <w:bottom w:val="none" w:sz="0" w:space="0" w:color="auto"/>
        <w:right w:val="none" w:sz="0" w:space="0" w:color="auto"/>
      </w:divBdr>
    </w:div>
    <w:div w:id="1936785743">
      <w:bodyDiv w:val="1"/>
      <w:marLeft w:val="0"/>
      <w:marRight w:val="0"/>
      <w:marTop w:val="0"/>
      <w:marBottom w:val="0"/>
      <w:divBdr>
        <w:top w:val="none" w:sz="0" w:space="0" w:color="auto"/>
        <w:left w:val="none" w:sz="0" w:space="0" w:color="auto"/>
        <w:bottom w:val="none" w:sz="0" w:space="0" w:color="auto"/>
        <w:right w:val="none" w:sz="0" w:space="0" w:color="auto"/>
      </w:divBdr>
    </w:div>
    <w:div w:id="1953977218">
      <w:bodyDiv w:val="1"/>
      <w:marLeft w:val="0"/>
      <w:marRight w:val="0"/>
      <w:marTop w:val="0"/>
      <w:marBottom w:val="0"/>
      <w:divBdr>
        <w:top w:val="none" w:sz="0" w:space="0" w:color="auto"/>
        <w:left w:val="none" w:sz="0" w:space="0" w:color="auto"/>
        <w:bottom w:val="none" w:sz="0" w:space="0" w:color="auto"/>
        <w:right w:val="none" w:sz="0" w:space="0" w:color="auto"/>
      </w:divBdr>
    </w:div>
    <w:div w:id="2015645662">
      <w:bodyDiv w:val="1"/>
      <w:marLeft w:val="0"/>
      <w:marRight w:val="0"/>
      <w:marTop w:val="0"/>
      <w:marBottom w:val="0"/>
      <w:divBdr>
        <w:top w:val="none" w:sz="0" w:space="0" w:color="auto"/>
        <w:left w:val="none" w:sz="0" w:space="0" w:color="auto"/>
        <w:bottom w:val="none" w:sz="0" w:space="0" w:color="auto"/>
        <w:right w:val="none" w:sz="0" w:space="0" w:color="auto"/>
      </w:divBdr>
    </w:div>
    <w:div w:id="2044477214">
      <w:bodyDiv w:val="1"/>
      <w:marLeft w:val="0"/>
      <w:marRight w:val="0"/>
      <w:marTop w:val="0"/>
      <w:marBottom w:val="0"/>
      <w:divBdr>
        <w:top w:val="none" w:sz="0" w:space="0" w:color="auto"/>
        <w:left w:val="none" w:sz="0" w:space="0" w:color="auto"/>
        <w:bottom w:val="none" w:sz="0" w:space="0" w:color="auto"/>
        <w:right w:val="none" w:sz="0" w:space="0" w:color="auto"/>
      </w:divBdr>
    </w:div>
    <w:div w:id="204724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tiff"/><Relationship Id="rId4" Type="http://schemas.openxmlformats.org/officeDocument/2006/relationships/settings" Target="settings.xml"/><Relationship Id="rId9" Type="http://schemas.openxmlformats.org/officeDocument/2006/relationships/chart" Target="charts/chart1.xml"/></Relationships>
</file>

<file path=word/_rels/footnotes.xml.rels><?xml version="1.0" encoding="UTF-8" standalone="yes"?>
<Relationships xmlns="http://schemas.openxmlformats.org/package/2006/relationships"><Relationship Id="rId8" Type="http://schemas.openxmlformats.org/officeDocument/2006/relationships/hyperlink" Target="https://www.aacu.org/sites/default/files/files/LEAP/HIP_tables.pdf" TargetMode="External"/><Relationship Id="rId3" Type="http://schemas.openxmlformats.org/officeDocument/2006/relationships/hyperlink" Target="https://www.insidehighered.com/views/2020/05/21/how-humanities-can-be-part-front-line-response-pandemic-opinion" TargetMode="External"/><Relationship Id="rId7" Type="http://schemas.openxmlformats.org/officeDocument/2006/relationships/hyperlink" Target="about:blank" TargetMode="External"/><Relationship Id="rId2" Type="http://schemas.openxmlformats.org/officeDocument/2006/relationships/hyperlink" Target="https://register.gotowebinar.com/recording/viewRecording/7280447437276989451/5895968784528030735/billie.tadros@scranton.edu?registrantKey=940421499142928399&amp;type=ATTENDEEEMAILRECORDINGLINK" TargetMode="External"/><Relationship Id="rId1" Type="http://schemas.openxmlformats.org/officeDocument/2006/relationships/hyperlink" Target="about:blank" TargetMode="Externa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hyperlink" Target="https://register.gotowebinar.com/recording/viewRecording/7280447437276989451/5895968784528030735/billie.tadros@scranton.edu?registrantKey=940421499142928399&amp;type=ATTENDEEEMAILRECORDINGLINK"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about:blank"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_tradnl"/>
              <a:t>Chart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numRef>
              <c:f>Sheet1!$C$2:$I$2</c:f>
              <c:numCache>
                <c:formatCode>General</c:formatCode>
                <c:ptCount val="7"/>
                <c:pt idx="0">
                  <c:v>1</c:v>
                </c:pt>
                <c:pt idx="1">
                  <c:v>2</c:v>
                </c:pt>
                <c:pt idx="2">
                  <c:v>3</c:v>
                </c:pt>
                <c:pt idx="3">
                  <c:v>4</c:v>
                </c:pt>
                <c:pt idx="4">
                  <c:v>5</c:v>
                </c:pt>
                <c:pt idx="5">
                  <c:v>6</c:v>
                </c:pt>
                <c:pt idx="6">
                  <c:v>7</c:v>
                </c:pt>
              </c:numCache>
            </c:numRef>
          </c:cat>
          <c:val>
            <c:numRef>
              <c:f>Sheet1!$C$3:$I$3</c:f>
              <c:numCache>
                <c:formatCode>General</c:formatCode>
                <c:ptCount val="7"/>
                <c:pt idx="0">
                  <c:v>3</c:v>
                </c:pt>
                <c:pt idx="1">
                  <c:v>6</c:v>
                </c:pt>
                <c:pt idx="2">
                  <c:v>6</c:v>
                </c:pt>
                <c:pt idx="3">
                  <c:v>9</c:v>
                </c:pt>
                <c:pt idx="4">
                  <c:v>18</c:v>
                </c:pt>
                <c:pt idx="5">
                  <c:v>14</c:v>
                </c:pt>
                <c:pt idx="6">
                  <c:v>14</c:v>
                </c:pt>
              </c:numCache>
            </c:numRef>
          </c:val>
          <c:extLst>
            <c:ext xmlns:c16="http://schemas.microsoft.com/office/drawing/2014/chart" uri="{C3380CC4-5D6E-409C-BE32-E72D297353CC}">
              <c16:uniqueId val="{00000000-D6DC-0C4A-8CB8-0A6375FC57B5}"/>
            </c:ext>
          </c:extLst>
        </c:ser>
        <c:dLbls>
          <c:showLegendKey val="0"/>
          <c:showVal val="0"/>
          <c:showCatName val="0"/>
          <c:showSerName val="0"/>
          <c:showPercent val="0"/>
          <c:showBubbleSize val="0"/>
        </c:dLbls>
        <c:gapWidth val="219"/>
        <c:overlap val="-27"/>
        <c:axId val="1988342688"/>
        <c:axId val="1895325936"/>
      </c:barChart>
      <c:catAx>
        <c:axId val="1988342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95325936"/>
        <c:crosses val="autoZero"/>
        <c:auto val="1"/>
        <c:lblAlgn val="ctr"/>
        <c:lblOffset val="100"/>
        <c:noMultiLvlLbl val="0"/>
      </c:catAx>
      <c:valAx>
        <c:axId val="18953259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883426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569DE-EE4F-4AFD-9FF1-AAB9EEDBE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7186</Words>
  <Characters>40966</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Ugarte</dc:creator>
  <cp:keywords/>
  <dc:description/>
  <cp:lastModifiedBy>Billie Tadros</cp:lastModifiedBy>
  <cp:revision>10</cp:revision>
  <dcterms:created xsi:type="dcterms:W3CDTF">2020-09-28T20:05:00Z</dcterms:created>
  <dcterms:modified xsi:type="dcterms:W3CDTF">2021-02-12T01:30:00Z</dcterms:modified>
</cp:coreProperties>
</file>